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March 26,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and Early Head Start (EHS)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and Early Head Start (EHS) Program Wellness Services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Early Head Start-Child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