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933450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AGENDA PACKET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Community Action Advisory Board Meeting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18"/>
        <w:gridCol w:w="2396"/>
        <w:gridCol w:w="2786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Thursday, April 18, 2024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5:30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Claude Black Community Center, 2805 E. Commerce St, San Antonio, TX 78203, Room 25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Community Action Advisory Board Meeting will hold its regular meeting in the Claude Black Community Center, 2805 E. Commerce St, San Antonio, TX 78203, Room 25 beginning at 5:30 PM. Once convened, the Community Action Advisory Board Meeting will take up the following items no sooner than the designated times.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 xml:space="preserve">Members of the public can comment on items on the agenda. To submit comments or sign up to speak, please go to </w:t>
      </w:r>
      <w:hyperlink r:id="rId6" w:history="1">
        <w:r>
          <w:rPr>
            <w:rStyle w:val="a"/>
            <w:lang w:val="en" w:eastAsia="en"/>
          </w:rPr>
          <w:t>www.sanantonio.gov/agenda</w:t>
        </w:r>
      </w:hyperlink>
      <w:r>
        <w:rPr>
          <w:rStyle w:val="anyCharacter"/>
          <w:color w:val="333333"/>
          <w:lang w:val="en" w:eastAsia="en"/>
        </w:rPr>
        <w:t xml:space="preserve"> and click on the eComment link for instructions. Questions relating to these rules may be directed to the Office of the City Clerk at (210) 207-7253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Once a quorum is established, the Community Action Advisory Board Meeting shall consider the following: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REGULAR MEETING OF CAAB TO ORDER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Roll Call &amp; Establishment of Quorum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 March 21, 2024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Community Service Block Grant (CSBG) Fiscal Expenditure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CAAB By-Laws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Program and (CSBG) Community Service Block Grant Items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2024-2025 Early Head Start-Child Care Partnership (EHS-CCP) Baseline Grant Application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2022-2023 Annual Report with minor revisions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Program Governance By-laws and Impasse Procedures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Start/Early Head Start Program Disability Enrollment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Early Head Start (EHS),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ANNOUNCEMENTS/COMMENTS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Next CAAB Meeting May 16, 2024, Brady Head Start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after="0" w:line="343" w:lineRule="atLeast"/>
        <w:ind w:left="0" w:right="0"/>
        <w:rPr>
          <w:rStyle w:val="anyCharacter"/>
          <w:color w:val="333333"/>
          <w:lang w:val="en" w:eastAsia="en"/>
        </w:rPr>
      </w:pPr>
      <w:r>
        <w:rPr>
          <w:rStyle w:val="anyCharacter"/>
          <w:color w:val="333333"/>
          <w:lang w:val="en" w:eastAsia="en"/>
        </w:rPr>
        <w:t>At any time during the meeting, the Community Action Advisory Board Meeting</w:t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  <w:r>
        <w:rPr>
          <w:rStyle w:val="anyCharacter"/>
          <w:color w:val="333333"/>
          <w:lang w:val="en" w:eastAsia="en"/>
        </w:rPr>
        <w:t>Committee may meet in executive session by videoconference for consultation with the City Attorney's Office concerning attorney client matters under Chapter 551 of the Texas Government Code.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>
      <w:pPr>
        <w:bidi w:val="0"/>
        <w:spacing w:after="0" w:line="343" w:lineRule="atLeast"/>
        <w:ind w:left="0" w:right="0"/>
        <w:rPr>
          <w:rStyle w:val="anyCharacter"/>
          <w:color w:val="333333"/>
          <w:lang w:val="en" w:eastAsia="e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character" w:customStyle="1" w:styleId="a">
    <w:name w:val="a"/>
    <w:basedOn w:val="DefaultParagraphFont"/>
    <w:rPr>
      <w:color w:val="428BCA"/>
    </w:rPr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jpeg" /><Relationship Id="rId6" Type="http://schemas.openxmlformats.org/officeDocument/2006/relationships/hyperlink" Target="http://www.sanantonio.gov/agenda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