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2.0 -->
  <w:body>
    <w:p>
      <w:pPr>
        <w:pStyle w:val="any"/>
        <w:bidi w:val="0"/>
        <w:spacing w:before="0" w:line="300" w:lineRule="atLeast"/>
        <w:ind w:left="0" w:right="0"/>
        <w:jc w:val="center"/>
        <w:rPr>
          <w:rFonts w:ascii="Helvetica" w:eastAsia="Helvetica" w:hAnsi="Helvetica" w:cs="Helvetica"/>
          <w:color w:val="333333"/>
          <w:sz w:val="21"/>
          <w:szCs w:val="21"/>
          <w:lang w:val="en" w:eastAsia="en"/>
        </w:rPr>
      </w:pPr>
      <w:r>
        <w:rPr>
          <w:rStyle w:val="strong"/>
          <w:b/>
          <w:bCs/>
          <w:color w:val="333333"/>
          <w:sz w:val="32"/>
          <w:szCs w:val="32"/>
          <w:lang w:val="en" w:eastAsia="en"/>
        </w:rPr>
        <w:t>City of San Antonio</w:t>
      </w:r>
      <w:r>
        <w:rPr>
          <w:rStyle w:val="strong"/>
          <w:b/>
          <w:bCs/>
          <w:color w:val="333333"/>
          <w:sz w:val="32"/>
          <w:szCs w:val="32"/>
          <w:lang w:val="en" w:eastAsia="en"/>
        </w:rPr>
        <w:br/>
      </w:r>
      <w:r>
        <w:rPr>
          <w:rStyle w:val="anyCharacter"/>
          <w:strike w:val="0"/>
          <w:color w:val="428BCA"/>
          <w:u w:val="none"/>
          <w:bdr w:val="none" w:sz="0" w:space="0" w:color="auto"/>
          <w:lang w:val="en" w:eastAsia="en"/>
        </w:rPr>
        <w:drawing>
          <wp:inline>
            <wp:extent cx="952500" cy="933450"/>
            <wp:docPr id="100001" name="">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952500" cy="933450"/>
                    </a:xfrm>
                    <a:prstGeom prst="rect">
                      <a:avLst/>
                    </a:prstGeom>
                    <a:ln>
                      <a:noFill/>
                    </a:ln>
                  </pic:spPr>
                </pic:pic>
              </a:graphicData>
            </a:graphic>
          </wp:inline>
        </w:drawing>
      </w:r>
      <w:r>
        <w:rPr>
          <w:rStyle w:val="anyCharacter"/>
          <w:strike w:val="0"/>
          <w:color w:val="428BCA"/>
          <w:u w:val="none"/>
          <w:bdr w:val="none" w:sz="0" w:space="0" w:color="auto"/>
          <w:lang w:val="en" w:eastAsia="en"/>
        </w:rPr>
        <w:br/>
      </w:r>
      <w:r>
        <w:rPr>
          <w:rStyle w:val="strong"/>
          <w:b/>
          <w:bCs/>
          <w:color w:val="333333"/>
          <w:sz w:val="32"/>
          <w:szCs w:val="32"/>
          <w:lang w:val="en" w:eastAsia="en"/>
        </w:rPr>
        <w:t>AGENDA</w:t>
      </w:r>
      <w:r>
        <w:rPr>
          <w:rStyle w:val="strong"/>
          <w:b/>
          <w:bCs/>
          <w:color w:val="333333"/>
          <w:sz w:val="32"/>
          <w:szCs w:val="32"/>
          <w:lang w:val="en" w:eastAsia="en"/>
        </w:rPr>
        <w:br/>
      </w:r>
      <w:r>
        <w:rPr>
          <w:rStyle w:val="strong"/>
          <w:b/>
          <w:bCs/>
          <w:color w:val="333333"/>
          <w:sz w:val="32"/>
          <w:szCs w:val="32"/>
          <w:lang w:val="en" w:eastAsia="en"/>
        </w:rPr>
        <w:t>City of San Antonio Commission on Education - March Meeting</w:t>
      </w:r>
      <w:r>
        <w:rPr>
          <w:rStyle w:val="strong"/>
          <w:b/>
          <w:bCs/>
          <w:color w:val="333333"/>
          <w:sz w:val="32"/>
          <w:szCs w:val="32"/>
          <w:lang w:val="en" w:eastAsia="en"/>
        </w:rPr>
        <w:br/>
      </w:r>
      <w:r>
        <w:rPr>
          <w:rFonts w:ascii="Helvetica" w:eastAsia="Helvetica" w:hAnsi="Helvetica" w:cs="Helvetica"/>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4218"/>
        <w:gridCol w:w="2396"/>
        <w:gridCol w:w="2786"/>
      </w:tblGrid>
      <w:tr>
        <w:tblPrEx>
          <w:tblW w:w="5000" w:type="pct"/>
          <w:tblInd w:w="20" w:type="dxa"/>
          <w:tblCellMar>
            <w:top w:w="15" w:type="dxa"/>
            <w:left w:w="15" w:type="dxa"/>
            <w:bottom w:w="15" w:type="dxa"/>
            <w:right w:w="15" w:type="dxa"/>
          </w:tblCellMar>
          <w:tblLook w:val="05E0"/>
        </w:tblPrEx>
        <w:tc>
          <w:tcPr>
            <w:tcW w:w="11635" w:type="dxa"/>
            <w:noWrap w:val="0"/>
            <w:tcMar>
              <w:top w:w="20" w:type="dxa"/>
              <w:left w:w="20" w:type="dxa"/>
              <w:bottom w:w="20" w:type="dxa"/>
              <w:right w:w="20" w:type="dxa"/>
            </w:tcMar>
            <w:vAlign w:val="center"/>
            <w:hideMark/>
          </w:tcPr>
          <w:p>
            <w:pPr>
              <w:bidi w:val="0"/>
              <w:jc w:val="lef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Thursday, March 21, 2024</w:t>
            </w:r>
          </w:p>
        </w:tc>
        <w:tc>
          <w:tcPr>
            <w:tcW w:w="6955" w:type="dxa"/>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4:15 PM</w:t>
            </w:r>
          </w:p>
        </w:tc>
        <w:tc>
          <w:tcPr>
            <w:tcW w:w="6400" w:type="dxa"/>
            <w:noWrap w:val="0"/>
            <w:tcMar>
              <w:top w:w="20" w:type="dxa"/>
              <w:left w:w="20" w:type="dxa"/>
              <w:bottom w:w="20" w:type="dxa"/>
              <w:right w:w="20" w:type="dxa"/>
            </w:tcMar>
            <w:vAlign w:val="center"/>
            <w:hideMark/>
          </w:tcPr>
          <w:p>
            <w:pPr>
              <w:bidi w:val="0"/>
              <w:jc w:val="right"/>
              <w:rPr>
                <w:rFonts w:ascii="Helvetica" w:eastAsia="Helvetica" w:hAnsi="Helvetica" w:cs="Helvetica"/>
                <w:b w:val="0"/>
                <w:bCs w:val="0"/>
                <w:i w:val="0"/>
                <w:iCs w:val="0"/>
                <w:smallCaps w:val="0"/>
                <w:color w:val="333333"/>
                <w:lang w:val="en" w:eastAsia="en"/>
              </w:rPr>
            </w:pPr>
            <w:r>
              <w:rPr>
                <w:rStyle w:val="anyCharacter"/>
                <w:b/>
                <w:bCs/>
                <w:i w:val="0"/>
                <w:iCs w:val="0"/>
                <w:smallCaps w:val="0"/>
                <w:color w:val="333333"/>
                <w:lang w:val="en" w:eastAsia="en"/>
              </w:rPr>
              <w:t>UP Partnership 10127 Morocco St. San Antonio, Texas 78216</w:t>
            </w: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Helvetica" w:eastAsia="Helvetica" w:hAnsi="Helvetica" w:cs="Helvetica"/>
          <w:color w:val="333333"/>
          <w:sz w:val="21"/>
          <w:szCs w:val="21"/>
          <w:lang w:val="en" w:eastAsia="en"/>
        </w:rPr>
      </w:pPr>
      <w:r>
        <w:rPr>
          <w:rStyle w:val="anyCharacter"/>
          <w:color w:val="333333"/>
          <w:lang w:val="en" w:eastAsia="en"/>
        </w:rPr>
        <w:t>The City of San Antonio Commission on Education - March Meeting will hold its regular meeting at UP Partnership 10127 Morocco St. San Antonio, Texas 78216 beginning at 4:15 PM. Once convened, the City of San Antonio Commission on Education - March Meeting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color w:val="333333"/>
          <w:lang w:val="en" w:eastAsia="en"/>
        </w:rPr>
        <w:t>The commission meetings are open to the public. Members of the public can attend the commission meetings and comment on items on the agenda.</w:t>
      </w:r>
      <w:r>
        <w:rPr>
          <w:rStyle w:val="anyCharacter"/>
          <w:color w:val="333333"/>
          <w:lang w:val="en" w:eastAsia="en"/>
        </w:rPr>
        <w:br/>
      </w:r>
      <w:r>
        <w:rPr>
          <w:rStyle w:val="anyCharacter"/>
          <w:color w:val="333333"/>
          <w:lang w:val="en" w:eastAsia="en"/>
        </w:rPr>
        <w:br/>
      </w:r>
      <w:r>
        <w:rPr>
          <w:rStyle w:val="anyCharacter"/>
          <w:color w:val="333333"/>
          <w:lang w:val="en" w:eastAsia="en"/>
        </w:rPr>
        <w:t>Public Comment: Citizens can sign up before the meeting starts to speak on an agenda item. Citizens who wish to have their public comments read at the next meeting must submit their comments at least 24 hours prior to the meeting. Citizens who wish to submit comments and have them read at the meeting, may send them via email or by leaving a message.  Please include your full name, address, item you are addressing and your comments.</w:t>
      </w:r>
      <w:r>
        <w:rPr>
          <w:rStyle w:val="anyCharacter"/>
          <w:color w:val="333333"/>
          <w:lang w:val="en" w:eastAsia="en"/>
        </w:rPr>
        <w:br/>
      </w:r>
      <w:r>
        <w:rPr>
          <w:rFonts w:ascii="Helvetica" w:eastAsia="Helvetica" w:hAnsi="Helvetica" w:cs="Helvetica"/>
          <w:color w:val="333333"/>
          <w:sz w:val="21"/>
          <w:szCs w:val="21"/>
          <w:lang w:val="en" w:eastAsia="en"/>
        </w:rPr>
        <w:t xml:space="preserve">  </w:t>
      </w:r>
    </w:p>
    <w:p>
      <w:pPr>
        <w:pStyle w:val="li"/>
        <w:bidi w:val="0"/>
        <w:spacing w:before="0" w:line="300" w:lineRule="atLeast"/>
        <w:ind w:left="720" w:right="0" w:firstLine="0"/>
        <w:jc w:val="both"/>
        <w:rPr>
          <w:rFonts w:ascii="Helvetica" w:eastAsia="Helvetica" w:hAnsi="Helvetica" w:cs="Helvetica"/>
          <w:color w:val="333333"/>
          <w:sz w:val="21"/>
          <w:szCs w:val="21"/>
          <w:lang w:val="en" w:eastAsia="en"/>
        </w:rPr>
      </w:pPr>
      <w:r>
        <w:rPr>
          <w:rStyle w:val="anyCharacter"/>
          <w:color w:val="333333"/>
          <w:lang w:val="en" w:eastAsia="en"/>
        </w:rPr>
        <w:t xml:space="preserve">Email: Please email the comments to </w:t>
      </w:r>
      <w:hyperlink r:id="rId6" w:history="1">
        <w:r>
          <w:rPr>
            <w:rStyle w:val="a"/>
            <w:lang w:val="en" w:eastAsia="en"/>
          </w:rPr>
          <w:t>marlys.mckinney@sanantonio.gov</w:t>
        </w:r>
      </w:hyperlink>
      <w:r>
        <w:rPr>
          <w:rStyle w:val="anyCharacter"/>
          <w:color w:val="333333"/>
          <w:lang w:val="en" w:eastAsia="en"/>
        </w:rPr>
        <w:t>. Emails will be read at the meeting. </w:t>
      </w:r>
    </w:p>
    <w:p>
      <w:pPr>
        <w:pStyle w:val="li"/>
        <w:bidi w:val="0"/>
        <w:spacing w:after="150" w:line="300" w:lineRule="atLeast"/>
        <w:ind w:left="720" w:right="0" w:firstLine="0"/>
        <w:jc w:val="both"/>
        <w:rPr>
          <w:rFonts w:ascii="Helvetica" w:eastAsia="Helvetica" w:hAnsi="Helvetica" w:cs="Helvetica"/>
          <w:color w:val="333333"/>
          <w:sz w:val="21"/>
          <w:szCs w:val="21"/>
          <w:lang w:val="en" w:eastAsia="en"/>
        </w:rPr>
      </w:pPr>
      <w:r>
        <w:rPr>
          <w:rStyle w:val="anyCharacter"/>
          <w:color w:val="333333"/>
          <w:lang w:val="en" w:eastAsia="en"/>
        </w:rPr>
        <w:t>Voicemail: You may call (210) 207-7202 and leave a voicemail. Messages will be transcribed and read at the meeting.</w:t>
      </w: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Approval of Minutes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City of San Antonio Commission on Education meeting on February 15, 2024.</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Public Comments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Briefing and Possible Action on the following items</w:t>
                  </w:r>
                  <w:r>
                    <w:rPr>
                      <w:rStyle w:val="strong"/>
                      <w:b/>
                      <w:bCs/>
                      <w:i w:val="0"/>
                      <w:iCs w:val="0"/>
                      <w:smallCaps w:val="0"/>
                      <w:color w:val="333333"/>
                      <w:lang w:val="en" w:eastAsia="en"/>
                    </w:rPr>
                    <w:br/>
                  </w:r>
                  <w:r>
                    <w:rPr>
                      <w:rFonts w:ascii="Helvetica" w:eastAsia="Helvetica" w:hAnsi="Helvetica" w:cs="Helvetica"/>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tbl>
                  <w:tblPr>
                    <w:tblStyle w:val="divdata-sectionidtdnth-last-child1table"/>
                    <w:tblW w:w="5000" w:type="pct"/>
                    <w:tblCellMar>
                      <w:top w:w="15" w:type="dxa"/>
                      <w:left w:w="15" w:type="dxa"/>
                      <w:bottom w:w="75" w:type="dxa"/>
                      <w:right w:w="15" w:type="dxa"/>
                    </w:tblCellMar>
                    <w:tblLook w:val="05E0"/>
                  </w:tblPr>
                  <w:tblGrid>
                    <w:gridCol w:w="460"/>
                    <w:gridCol w:w="8900"/>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0" w:type="dxa"/>
                        </w:tcMar>
                        <w:vAlign w:val="top"/>
                        <w:hideMark/>
                      </w:tcPr>
                      <w:p>
                        <w:pPr>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hideMark/>
                      </w:tcPr>
                      <w:p>
                        <w:pPr>
                          <w:pStyle w:val="any"/>
                          <w:bidi w:val="0"/>
                          <w:rPr>
                            <w:rFonts w:ascii="Helvetica" w:eastAsia="Helvetica" w:hAnsi="Helvetica" w:cs="Helvetica"/>
                            <w:b w:val="0"/>
                            <w:bCs w:val="0"/>
                            <w:i w:val="0"/>
                            <w:iCs w:val="0"/>
                            <w:smallCaps w:val="0"/>
                            <w:color w:val="333333"/>
                            <w:lang w:val="en" w:eastAsia="en"/>
                          </w:rPr>
                        </w:pPr>
                        <w:r>
                          <w:rPr>
                            <w:rStyle w:val="anyCharacter"/>
                            <w:b w:val="0"/>
                            <w:bCs w:val="0"/>
                            <w:i w:val="0"/>
                            <w:iCs w:val="0"/>
                            <w:smallCaps w:val="0"/>
                            <w:color w:val="333333"/>
                            <w:lang w:val="en" w:eastAsia="en"/>
                          </w:rPr>
                          <w:t>Discussion regarding UP Partnership’s Future Ready Plan with Ryan Lugalia-Hollon, Executive Director.</w:t>
                        </w:r>
                      </w:p>
                    </w:tc>
                  </w:tr>
                </w:tbl>
                <w:p>
                  <w:pPr>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rPr>
          <w:vanish/>
        </w:rPr>
      </w:pPr>
    </w:p>
    <w:tbl>
      <w:tblPr>
        <w:tblStyle w:val="table"/>
        <w:tblW w:w="5000" w:type="pct"/>
        <w:tblCellMar>
          <w:top w:w="15" w:type="dxa"/>
          <w:left w:w="15" w:type="dxa"/>
          <w:bottom w:w="15" w:type="dxa"/>
          <w:right w:w="15" w:type="dxa"/>
        </w:tblCellMar>
        <w:tblLook w:val="05E0"/>
      </w:tblPr>
      <w:tblGrid>
        <w:gridCol w:w="9380"/>
      </w:tblGrid>
      <w:tr>
        <w:tblPrEx>
          <w:tblW w:w="5000" w:type="pct"/>
          <w:tblCellMar>
            <w:top w:w="15" w:type="dxa"/>
            <w:left w:w="15" w:type="dxa"/>
            <w:bottom w:w="15" w:type="dxa"/>
            <w:right w:w="15" w:type="dxa"/>
          </w:tblCellMar>
          <w:tblLook w:val="05E0"/>
        </w:tblPrEx>
        <w:tc>
          <w:tcPr>
            <w:noWrap w:val="0"/>
            <w:tcMar>
              <w:top w:w="20" w:type="dxa"/>
              <w:left w:w="0" w:type="dxa"/>
              <w:bottom w:w="20" w:type="dxa"/>
              <w:right w:w="20" w:type="dxa"/>
            </w:tcMar>
            <w:vAlign w:val="center"/>
            <w:hideMark/>
          </w:tcPr>
          <w:tbl>
            <w:tblPr>
              <w:tblStyle w:val="table"/>
              <w:tblW w:w="5000" w:type="pct"/>
              <w:tblCellMar>
                <w:top w:w="15" w:type="dxa"/>
                <w:left w:w="15" w:type="dxa"/>
                <w:bottom w:w="15" w:type="dxa"/>
                <w:right w:w="15" w:type="dxa"/>
              </w:tblCellMar>
              <w:tblLook w:val="05E0"/>
            </w:tblPr>
            <w:tblGrid>
              <w:gridCol w:w="9360"/>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r>
                    <w:rPr>
                      <w:rStyle w:val="strong"/>
                      <w:b/>
                      <w:bCs/>
                      <w:i w:val="0"/>
                      <w:iCs w:val="0"/>
                      <w:smallCaps w:val="0"/>
                      <w:color w:val="333333"/>
                      <w:lang w:val="en" w:eastAsia="en"/>
                    </w:rPr>
                    <w:t>ADJOURNMENT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hideMark/>
                </w:tcPr>
                <w:p>
                  <w:pPr>
                    <w:bidi w:val="0"/>
                    <w:rPr>
                      <w:rFonts w:ascii="Helvetica" w:eastAsia="Helvetica" w:hAnsi="Helvetica" w:cs="Helvetica"/>
                      <w:b w:val="0"/>
                      <w:bCs w:val="0"/>
                      <w:i w:val="0"/>
                      <w:iCs w:val="0"/>
                      <w:smallCaps w:val="0"/>
                      <w:color w:val="333333"/>
                      <w:lang w:val="en" w:eastAsia="en"/>
                    </w:rPr>
                  </w:pPr>
                </w:p>
              </w:tc>
            </w:tr>
          </w:tbl>
          <w:p>
            <w:pPr>
              <w:rPr>
                <w:rFonts w:ascii="Helvetica" w:eastAsia="Helvetica" w:hAnsi="Helvetica" w:cs="Helvetica"/>
                <w:b w:val="0"/>
                <w:bCs w:val="0"/>
                <w:i w:val="0"/>
                <w:iCs w:val="0"/>
                <w:smallCaps w:val="0"/>
                <w:color w:val="333333"/>
                <w:lang w:val="en" w:eastAsia="en"/>
              </w:rPr>
            </w:pPr>
          </w:p>
        </w:tc>
      </w:tr>
    </w:tbl>
    <w:p>
      <w:pPr>
        <w:pStyle w:val="any"/>
        <w:bidi w:val="0"/>
        <w:spacing w:line="300" w:lineRule="atLeast"/>
        <w:ind w:left="0" w:right="0"/>
        <w:jc w:val="center"/>
        <w:rPr>
          <w:rFonts w:ascii="Helvetica" w:eastAsia="Helvetica" w:hAnsi="Helvetica" w:cs="Helvetica"/>
          <w:color w:val="333333"/>
          <w:sz w:val="21"/>
          <w:szCs w:val="21"/>
          <w:lang w:val="en" w:eastAsia="en"/>
        </w:rPr>
      </w:pPr>
      <w:r>
        <w:rPr>
          <w:rStyle w:val="anyCharacter"/>
          <w:color w:val="333333"/>
          <w:spacing w:val="-8"/>
          <w:lang w:val="en" w:eastAsia="en"/>
        </w:rPr>
        <w:t>At</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any</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time</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during</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the</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meeting,</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the</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City of San Antonio Commission on Education members may</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meet</w:t>
      </w:r>
      <w:r>
        <w:rPr>
          <w:rStyle w:val="anyCharacter"/>
          <w:rFonts w:ascii="Calibri" w:eastAsia="Calibri" w:hAnsi="Calibri" w:cs="Calibri"/>
          <w:color w:val="333333"/>
          <w:sz w:val="22"/>
          <w:szCs w:val="22"/>
          <w:lang w:val="en" w:eastAsia="en"/>
        </w:rPr>
        <w:t xml:space="preserve"> </w:t>
      </w:r>
      <w:r>
        <w:rPr>
          <w:rStyle w:val="anyCharacter"/>
          <w:color w:val="333333"/>
          <w:spacing w:val="-8"/>
          <w:lang w:val="en" w:eastAsia="en"/>
        </w:rPr>
        <w:t xml:space="preserve">in </w:t>
      </w:r>
      <w:r>
        <w:rPr>
          <w:rStyle w:val="anyCharacter"/>
          <w:color w:val="333333"/>
          <w:spacing w:val="-6"/>
          <w:lang w:val="en" w:eastAsia="en"/>
        </w:rPr>
        <w:t>executive</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session</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for</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consultation</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with</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the</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City</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Attorney's</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Office</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concerning</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attorney</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client</w:t>
      </w:r>
      <w:r>
        <w:rPr>
          <w:rStyle w:val="anyCharacter"/>
          <w:rFonts w:ascii="Calibri" w:eastAsia="Calibri" w:hAnsi="Calibri" w:cs="Calibri"/>
          <w:color w:val="333333"/>
          <w:sz w:val="22"/>
          <w:szCs w:val="22"/>
          <w:lang w:val="en" w:eastAsia="en"/>
        </w:rPr>
        <w:t xml:space="preserve"> </w:t>
      </w:r>
      <w:r>
        <w:rPr>
          <w:rStyle w:val="anyCharacter"/>
          <w:color w:val="333333"/>
          <w:spacing w:val="-6"/>
          <w:lang w:val="en" w:eastAsia="en"/>
        </w:rPr>
        <w:t xml:space="preserve">matters </w:t>
      </w:r>
      <w:r>
        <w:rPr>
          <w:rStyle w:val="anyCharacter"/>
          <w:color w:val="333333"/>
          <w:lang w:val="en" w:eastAsia="en"/>
        </w:rPr>
        <w:t>under Chapter 551 of the Texas Government Code.</w:t>
      </w:r>
      <w:r>
        <w:rPr>
          <w:rStyle w:val="anyCharacter"/>
          <w:color w:val="333333"/>
          <w:lang w:val="en" w:eastAsia="en"/>
        </w:rPr>
        <w:br/>
      </w:r>
      <w:r>
        <w:rPr>
          <w:rStyle w:val="anyCharacter"/>
          <w:color w:val="333333"/>
          <w:lang w:val="en" w:eastAsia="en"/>
        </w:rPr>
        <w:br/>
      </w:r>
      <w:r>
        <w:rPr>
          <w:rStyle w:val="anyCharacter"/>
          <w:b/>
          <w:bCs/>
          <w:color w:val="333333"/>
          <w:spacing w:val="-7"/>
          <w:lang w:val="en" w:eastAsia="en"/>
        </w:rPr>
        <w:t>ACCESS</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STATEMENT</w:t>
      </w:r>
      <w:r>
        <w:rPr>
          <w:rStyle w:val="anyCharacter"/>
          <w:b/>
          <w:bCs/>
          <w:color w:val="333333"/>
          <w:spacing w:val="-2"/>
          <w:lang w:val="en" w:eastAsia="en"/>
        </w:rPr>
        <w:br/>
      </w:r>
      <w:r>
        <w:rPr>
          <w:rStyle w:val="anyCharacter"/>
          <w:b/>
          <w:bCs/>
          <w:color w:val="333333"/>
          <w:lang w:val="en" w:eastAsia="en"/>
        </w:rPr>
        <w:t xml:space="preserve">The City of San Antonio ensures meaningful access to City meetings, programs and services </w:t>
      </w:r>
      <w:r>
        <w:rPr>
          <w:rStyle w:val="anyCharacter"/>
          <w:b/>
          <w:bCs/>
          <w:color w:val="333333"/>
          <w:spacing w:val="-2"/>
          <w:lang w:val="en" w:eastAsia="en"/>
        </w:rPr>
        <w:t>by</w:t>
      </w:r>
      <w:r>
        <w:rPr>
          <w:rStyle w:val="anyCharacter"/>
          <w:b/>
          <w:bCs/>
          <w:color w:val="333333"/>
          <w:lang w:val="en" w:eastAsia="en"/>
        </w:rPr>
        <w:t xml:space="preserve"> </w:t>
      </w:r>
      <w:r>
        <w:rPr>
          <w:rStyle w:val="anyCharacter"/>
          <w:b/>
          <w:bCs/>
          <w:color w:val="333333"/>
          <w:spacing w:val="-2"/>
          <w:lang w:val="en" w:eastAsia="en"/>
        </w:rPr>
        <w:t>reasonably</w:t>
      </w:r>
      <w:r>
        <w:rPr>
          <w:rStyle w:val="anyCharacter"/>
          <w:b/>
          <w:bCs/>
          <w:color w:val="333333"/>
          <w:lang w:val="en" w:eastAsia="en"/>
        </w:rPr>
        <w:t xml:space="preserve"> </w:t>
      </w:r>
      <w:r>
        <w:rPr>
          <w:rStyle w:val="anyCharacter"/>
          <w:b/>
          <w:bCs/>
          <w:color w:val="333333"/>
          <w:spacing w:val="-2"/>
          <w:lang w:val="en" w:eastAsia="en"/>
        </w:rPr>
        <w:t>providing:</w:t>
      </w:r>
      <w:r>
        <w:rPr>
          <w:rStyle w:val="anyCharacter"/>
          <w:b/>
          <w:bCs/>
          <w:color w:val="333333"/>
          <w:lang w:val="en" w:eastAsia="en"/>
        </w:rPr>
        <w:t xml:space="preserve"> </w:t>
      </w:r>
      <w:r>
        <w:rPr>
          <w:rStyle w:val="anyCharacter"/>
          <w:b/>
          <w:bCs/>
          <w:color w:val="333333"/>
          <w:spacing w:val="-2"/>
          <w:lang w:val="en" w:eastAsia="en"/>
        </w:rPr>
        <w:t>translation</w:t>
      </w:r>
      <w:r>
        <w:rPr>
          <w:rStyle w:val="anyCharacter"/>
          <w:b/>
          <w:bCs/>
          <w:color w:val="333333"/>
          <w:lang w:val="en" w:eastAsia="en"/>
        </w:rPr>
        <w:t xml:space="preserve"> </w:t>
      </w:r>
      <w:r>
        <w:rPr>
          <w:rStyle w:val="anyCharacter"/>
          <w:b/>
          <w:bCs/>
          <w:color w:val="333333"/>
          <w:spacing w:val="-2"/>
          <w:lang w:val="en" w:eastAsia="en"/>
        </w:rPr>
        <w:t>and</w:t>
      </w:r>
      <w:r>
        <w:rPr>
          <w:rStyle w:val="anyCharacter"/>
          <w:b/>
          <w:bCs/>
          <w:color w:val="333333"/>
          <w:lang w:val="en" w:eastAsia="en"/>
        </w:rPr>
        <w:t xml:space="preserve"> </w:t>
      </w:r>
      <w:r>
        <w:rPr>
          <w:rStyle w:val="anyCharacter"/>
          <w:b/>
          <w:bCs/>
          <w:color w:val="333333"/>
          <w:spacing w:val="-2"/>
          <w:lang w:val="en" w:eastAsia="en"/>
        </w:rPr>
        <w:t>interpretation,</w:t>
      </w:r>
      <w:r>
        <w:rPr>
          <w:rStyle w:val="anyCharacter"/>
          <w:b/>
          <w:bCs/>
          <w:color w:val="333333"/>
          <w:lang w:val="en" w:eastAsia="en"/>
        </w:rPr>
        <w:t xml:space="preserve"> </w:t>
      </w:r>
      <w:r>
        <w:rPr>
          <w:rStyle w:val="anyCharacter"/>
          <w:b/>
          <w:bCs/>
          <w:color w:val="333333"/>
          <w:spacing w:val="-2"/>
          <w:lang w:val="en" w:eastAsia="en"/>
        </w:rPr>
        <w:t>materials</w:t>
      </w:r>
      <w:r>
        <w:rPr>
          <w:rStyle w:val="anyCharacter"/>
          <w:b/>
          <w:bCs/>
          <w:color w:val="333333"/>
          <w:lang w:val="en" w:eastAsia="en"/>
        </w:rPr>
        <w:t xml:space="preserve"> </w:t>
      </w:r>
      <w:r>
        <w:rPr>
          <w:rStyle w:val="anyCharacter"/>
          <w:b/>
          <w:bCs/>
          <w:color w:val="333333"/>
          <w:spacing w:val="-2"/>
          <w:lang w:val="en" w:eastAsia="en"/>
        </w:rPr>
        <w:t>in</w:t>
      </w:r>
      <w:r>
        <w:rPr>
          <w:rStyle w:val="anyCharacter"/>
          <w:b/>
          <w:bCs/>
          <w:color w:val="333333"/>
          <w:lang w:val="en" w:eastAsia="en"/>
        </w:rPr>
        <w:t xml:space="preserve"> </w:t>
      </w:r>
      <w:r>
        <w:rPr>
          <w:rStyle w:val="anyCharacter"/>
          <w:b/>
          <w:bCs/>
          <w:color w:val="333333"/>
          <w:spacing w:val="-2"/>
          <w:lang w:val="en" w:eastAsia="en"/>
        </w:rPr>
        <w:t>alternate</w:t>
      </w:r>
      <w:r>
        <w:rPr>
          <w:rStyle w:val="anyCharacter"/>
          <w:b/>
          <w:bCs/>
          <w:color w:val="333333"/>
          <w:lang w:val="en" w:eastAsia="en"/>
        </w:rPr>
        <w:t xml:space="preserve"> </w:t>
      </w:r>
      <w:r>
        <w:rPr>
          <w:rStyle w:val="anyCharacter"/>
          <w:b/>
          <w:bCs/>
          <w:color w:val="333333"/>
          <w:spacing w:val="-2"/>
          <w:lang w:val="en" w:eastAsia="en"/>
        </w:rPr>
        <w:t>formats,</w:t>
      </w:r>
      <w:r>
        <w:rPr>
          <w:rStyle w:val="anyCharacter"/>
          <w:b/>
          <w:bCs/>
          <w:color w:val="333333"/>
          <w:lang w:val="en" w:eastAsia="en"/>
        </w:rPr>
        <w:t xml:space="preserve"> </w:t>
      </w:r>
      <w:r>
        <w:rPr>
          <w:rStyle w:val="anyCharacter"/>
          <w:b/>
          <w:bCs/>
          <w:color w:val="333333"/>
          <w:spacing w:val="-2"/>
          <w:lang w:val="en" w:eastAsia="en"/>
        </w:rPr>
        <w:t xml:space="preserve">and </w:t>
      </w:r>
      <w:r>
        <w:rPr>
          <w:rStyle w:val="anyCharacter"/>
          <w:b/>
          <w:bCs/>
          <w:color w:val="333333"/>
          <w:lang w:val="en" w:eastAsia="en"/>
        </w:rPr>
        <w:t>other accommodations upon request. To request these services call (210) 207</w:t>
      </w:r>
      <w:r>
        <w:rPr>
          <w:rStyle w:val="anyCharacter"/>
          <w:b/>
          <w:bCs/>
          <w:color w:val="333333"/>
          <w:lang w:val="en" w:eastAsia="en"/>
        </w:rPr>
        <w:softHyphen/>
        <w:t xml:space="preserve">1467 or Relay Texas 711 or by requesting these services online at </w:t>
      </w:r>
      <w:hyperlink r:id="rId7" w:history="1">
        <w:r>
          <w:rPr>
            <w:rStyle w:val="anyCharacter"/>
            <w:b/>
            <w:bCs/>
            <w:color w:val="333333"/>
            <w:spacing w:val="-2"/>
            <w:lang w:val="en" w:eastAsia="en"/>
          </w:rPr>
          <w:t>https://www.sanantonio.gov/gpa/LanguageServices.</w:t>
        </w:r>
      </w:hyperlink>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Providing</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at</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least</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72</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hours’</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notice</w:t>
      </w:r>
      <w:r>
        <w:rPr>
          <w:rStyle w:val="b"/>
          <w:rFonts w:ascii="Calibri" w:eastAsia="Calibri" w:hAnsi="Calibri" w:cs="Calibri"/>
          <w:b/>
          <w:bCs/>
          <w:color w:val="333333"/>
          <w:sz w:val="22"/>
          <w:szCs w:val="22"/>
          <w:lang w:val="en" w:eastAsia="en"/>
        </w:rPr>
        <w:t xml:space="preserve"> </w:t>
      </w:r>
      <w:r>
        <w:rPr>
          <w:rStyle w:val="anyCharacter"/>
          <w:b/>
          <w:bCs/>
          <w:color w:val="333333"/>
          <w:spacing w:val="-2"/>
          <w:lang w:val="en" w:eastAsia="en"/>
        </w:rPr>
        <w:t xml:space="preserve">will </w:t>
      </w:r>
      <w:r>
        <w:rPr>
          <w:rStyle w:val="anyCharacter"/>
          <w:b/>
          <w:bCs/>
          <w:color w:val="333333"/>
          <w:lang w:val="en" w:eastAsia="en"/>
        </w:rPr>
        <w:t>help to ensure availability.</w:t>
      </w:r>
    </w:p>
    <w:p>
      <w:pPr>
        <w:bidi w:val="0"/>
        <w:spacing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xml:space="preserve">  </w:t>
      </w:r>
    </w:p>
    <w:p>
      <w:pPr>
        <w:pStyle w:val="any"/>
        <w:bidi w:val="0"/>
        <w:spacing w:line="300" w:lineRule="atLeast"/>
        <w:ind w:left="0" w:right="0"/>
        <w:jc w:val="right"/>
        <w:rPr>
          <w:rFonts w:ascii="Helvetica" w:eastAsia="Helvetica" w:hAnsi="Helvetica" w:cs="Helvetica"/>
          <w:color w:val="333333"/>
          <w:sz w:val="21"/>
          <w:szCs w:val="21"/>
          <w:lang w:val="en" w:eastAsia="en"/>
        </w:rPr>
      </w:pPr>
      <w:r>
        <w:rPr>
          <w:rStyle w:val="anyCharacter"/>
          <w:color w:val="333333"/>
          <w:lang w:val="en" w:eastAsia="en"/>
        </w:rPr>
        <w:t>                                                                                                                                                      Posted on: 03/19/2024  10:02 AM</w:t>
      </w:r>
    </w:p>
    <w:p>
      <w:pPr>
        <w:bidi w:val="0"/>
        <w:spacing w:line="300" w:lineRule="atLeast"/>
        <w:ind w:left="0" w:right="0"/>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xml:space="preserve">  </w:t>
      </w:r>
    </w:p>
    <w:p>
      <w:pPr>
        <w:pStyle w:val="any"/>
        <w:bidi w:val="0"/>
        <w:spacing w:line="300" w:lineRule="atLeast"/>
        <w:ind w:left="0" w:right="0"/>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p>
      <w:pPr>
        <w:pStyle w:val="any"/>
        <w:bidi w:val="0"/>
        <w:spacing w:after="0" w:line="300" w:lineRule="atLeast"/>
        <w:ind w:left="0" w:right="0"/>
        <w:jc w:val="center"/>
        <w:rPr>
          <w:rFonts w:ascii="Helvetica" w:eastAsia="Helvetica" w:hAnsi="Helvetica" w:cs="Helvetica"/>
          <w:color w:val="333333"/>
          <w:sz w:val="21"/>
          <w:szCs w:val="21"/>
          <w:lang w:val="en" w:eastAsia="en"/>
        </w:rPr>
      </w:pPr>
      <w:r>
        <w:rPr>
          <w:rFonts w:ascii="Helvetica" w:eastAsia="Helvetica" w:hAnsi="Helvetica" w:cs="Helvetica"/>
          <w:color w:val="333333"/>
          <w:sz w:val="21"/>
          <w:szCs w:val="21"/>
          <w:lang w:val="en" w:eastAsia="en"/>
        </w:rPr>
        <w:t> </w:t>
      </w:r>
    </w:p>
    <w:p w:rsidR="00A77B3E"/>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Calibri">
    <w:charset w:val="00"/>
    <w:family w:val="auto"/>
    <w:pitch w:val="default"/>
    <w:sig w:usb0="00000000" w:usb1="00000000" w:usb2="00000000" w:usb3="00000000" w:csb0="00000001" w:csb1="00000000"/>
    <w:embedRegular r:id="rId1" w:fontKey="{74AD5668-C39B-44FD-A9A5-58712F855F48}"/>
    <w:embedBold r:id="rId2" w:fontKey="{28D79C19-2356-44E9-85ED-C583E6A53EF5}"/>
  </w:font>
  <w:font w:name="Helvetica">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li">
    <w:name w:val="li"/>
    <w:basedOn w:val="Normal"/>
  </w:style>
  <w:style w:type="character" w:customStyle="1" w:styleId="a">
    <w:name w:val="a"/>
    <w:basedOn w:val="DefaultParagraphFont"/>
    <w:rPr>
      <w:color w:val="428BCA"/>
    </w:r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 w:type="character" w:customStyle="1" w:styleId="b">
    <w:name w:val="b"/>
    <w:basedOn w:val="DefaultParagraphFont"/>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nantonio.primegov.com/content/images/org/3ad085.jpg" TargetMode="External" /><Relationship Id="rId5" Type="http://schemas.openxmlformats.org/officeDocument/2006/relationships/image" Target="media/image1.jpeg" /><Relationship Id="rId6" Type="http://schemas.openxmlformats.org/officeDocument/2006/relationships/hyperlink" Target="mailto:jemm.morris@sanantonio.gov" TargetMode="External" /><Relationship Id="rId7" Type="http://schemas.openxmlformats.org/officeDocument/2006/relationships/hyperlink" Target="http://www.sanantonio.gov/gpa/LanguageServices" TargetMode="External" /><Relationship Id="rId8" Type="http://schemas.openxmlformats.org/officeDocument/2006/relationships/theme" Target="theme/theme1.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