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36"/>
        <w:gridCol w:w="2407"/>
        <w:gridCol w:w="2757"/>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January 18,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Brady Head Start Building, Galaxy Conference Room, 1227 Brady Blvd, San Antonio, Texas 78207</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Meeting will hold its regular meeting in the Brady Head Start Building, Galaxy Conference Room, 1227 Brady Blvd, San Antonio, Texas 78207 beginning at 5:30 PM. Once convened, the Community Action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Call Regular Meeting of CAAB to Order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Roll Call &amp; Establishment of Quorum</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Community Action Advisory Board meeting on November 30,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2023 December CSBG Fiscal Expenditure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2023 CSBG Budget Revision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2023 CSBG Discretionary Budget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TDHCA/Family Assistance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CAAB Vacancies for Private Organizations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2024 CAAB Calendar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Annual Governance Training for CAAB</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ACF-PI-OHS-23-04 Notice of Proposed Rulemaking (NPRM) on Supporting the Head Start Workforce and Consistent Quality Programming – Public Comment Period</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HSES Enrollment - 06CH010821 - EHS Underenrollment Letter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2024-2025 Head Start Eligibility, Recruitment, Selection, Enrollment and Attendance (ERSEA) Matrix</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the 2024-2025 Early Head Start (EHS) and Early Head Start-Child Care Partnership (EHS-CCP) ERSEA Matrix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the 2024-2025 Head Start ERSEA Policy Updates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the 2024-2025 Early Head Start and Early Head Start-Child Care Partnership (EHS-CCP) ERSEA Policy Updates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the 2024-2025 Head Start and Early Head Start ERSEA Recruitment Plan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Early Head Start (EHS), and Early Head Start-Child Care Partnership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Quality Assurance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Quality Assurance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Announcements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CAAB Board next Meeting-February 15, 2024</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01/12/2024  02:29 PM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