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401"/>
        <w:gridCol w:w="2518"/>
        <w:gridCol w:w="2481"/>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December 12,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December 12, 2023, at 6:15 PM.</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November 14,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ACF-PI-OHS-23-04 Notice of Proposed Rulemaking (NPRM) on Supporting the Head Start Workforce and Consistent Quality Programming – Public Comment Period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Correspondence - HSES Enrollment - 06CH010821 - EHS Underenrollment Letter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Head Start Policy Council Officers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Head Start Policy Council Community Representatives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Election of Committee Members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Policy Council Meeting days and times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Determining, Verifying, and Documenting Eligibility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Feedback on Head Start Parent Handbook</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Early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12/08/2023  10:13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