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April 18,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April 18, 2023, at 6:15 PM.</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toll-free 1(415)-655-0001</w:t>
      </w:r>
      <w:r>
        <w:rPr>
          <w:rStyle w:val="anyCharacter"/>
          <w:color w:val="333333"/>
          <w:lang w:val="en" w:eastAsia="en"/>
        </w:rPr>
        <w:br/>
      </w:r>
      <w:r>
        <w:rPr>
          <w:rStyle w:val="anyCharacter"/>
          <w:color w:val="333333"/>
          <w:lang w:val="en" w:eastAsia="en"/>
        </w:rPr>
        <w:t>and dialing the access code, 1778 83 5920.</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March 28,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ACF-IM-HS-23-01 The Role of Head Start Programs in Addressing Lead in Water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Head Start and Early Head Start (EHS)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Early Head Start-Child Care Partnership (EHS-CCP) Cost of Living (COLA) and Quality Improvement (QI)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and Early Head Start (EHS) Program Wellness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Program Middle of the Year (MOY)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Disability Enrollment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EXECUTIVE SESSION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At any time during the Head Start Policy Council meeting, the Policy Council may meet in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Executive Session under Chapter 551 of the Texas Government Code, including consultation with</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an attorney.</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ACCESSIBILITY STATEMENT</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This meeting site is accessible to persons with disabilities. Parking is available. Auxiliary aids and</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services, including Deaf interpreters, must be requested forty-eight [48] hours prior to the</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meeting. For assistance, call (210) 206-5500.</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DECLARACIÓN DE ACCESIBILIDAD</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Este lugar de la reunión es accesible a personas incapacitadas. Se hará disponible el</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estacionamiento. Ayudas auxiliares, incluyendo servicios de intérpretes para los sordos, se deben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pedir con cuarenta y ocho [48] horas de anticipación a la reunión. Para asistencia llamar al</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(210) 206-5500.</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DEPARTMENT OF HUMAN SERVICES HEAD START MISSION STATEMENT</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Preparing children and engaging families for school readiness and life-long success.</w:t>
      </w:r>
    </w:p>
    <w:p w:rsidR="00A77B3E"/>
    <w:tbl>
      <w:tblPr>
        <w:tblW w:w="5000" w:type="pct"/>
        <w:tblCellSpacing w:w="15" w:type="dxa"/>
        <w:tblInd w:w="45" w:type="dxa"/>
        <w:tblCellMar>
          <w:top w:w="15" w:type="dxa"/>
          <w:left w:w="15" w:type="dxa"/>
          <w:bottom w:w="15" w:type="dxa"/>
          <w:right w:w="15" w:type="dxa"/>
        </w:tblCellMar>
      </w:tblPr>
      <w:tblGrid>
        <w:gridCol w:w="9285"/>
      </w:tblGrid>
      <w:tr>
        <w:tblPrEx>
          <w:tblW w:w="5000" w:type="pct"/>
          <w:tblCellSpacing w:w="15" w:type="dxa"/>
          <w:tblInd w:w="45" w:type="dxa"/>
          <w:tblCellMar>
            <w:top w:w="15" w:type="dxa"/>
            <w:left w:w="15" w:type="dxa"/>
            <w:bottom w:w="15" w:type="dxa"/>
            <w:right w:w="15" w:type="dxa"/>
          </w:tblCellMar>
        </w:tblPrEx>
        <w:trPr>
          <w:tblCellSpacing w:w="15" w:type="dxa"/>
        </w:trPr>
        <w:tc>
          <w:tcPr>
            <w:tcBorders>
              <w:top w:val="single" w:sz="12" w:space="0" w:color="FF0000"/>
              <w:left w:val="single" w:sz="12" w:space="0" w:color="FF0000"/>
              <w:bottom w:val="single" w:sz="12" w:space="0" w:color="FF0000"/>
              <w:right w:val="single" w:sz="12" w:space="0" w:color="FF0000"/>
            </w:tcBorders>
            <w:noWrap w:val="0"/>
            <w:tcMar>
              <w:top w:w="30" w:type="dxa"/>
              <w:left w:w="30" w:type="dxa"/>
              <w:bottom w:w="30" w:type="dxa"/>
              <w:right w:w="30" w:type="dxa"/>
            </w:tcMar>
            <w:vAlign w:val="center"/>
            <w:hideMark/>
          </w:tcPr>
          <w:p>
            <w:pPr>
              <w:jc w:val="center"/>
              <w:rPr>
                <w:rFonts w:ascii="Times New Roman" w:eastAsia="Times New Roman" w:hAnsi="Times New Roman" w:cs="Times New Roman"/>
                <w:b/>
                <w:bCs/>
                <w:i w:val="0"/>
                <w:iCs w:val="0"/>
                <w:smallCaps w:val="0"/>
                <w:color w:val="FF0000"/>
              </w:rPr>
            </w:pPr>
            <w:r>
              <w:rPr>
                <w:rFonts w:ascii="Times New Roman" w:eastAsia="Times New Roman" w:hAnsi="Times New Roman" w:cs="Times New Roman"/>
                <w:b/>
                <w:bCs/>
                <w:i w:val="0"/>
                <w:iCs w:val="0"/>
                <w:smallCaps w:val="0"/>
                <w:color w:val="FF0000"/>
              </w:rPr>
              <w:t>Attachments not included.</w:t>
            </w:r>
            <w:r>
              <w:rPr>
                <w:rFonts w:ascii="Times New Roman" w:eastAsia="Times New Roman" w:hAnsi="Times New Roman" w:cs="Times New Roman"/>
                <w:b/>
                <w:bCs/>
                <w:i w:val="0"/>
                <w:iCs w:val="0"/>
                <w:smallCaps w:val="0"/>
                <w:color w:val="FF0000"/>
              </w:rPr>
              <w:br/>
            </w:r>
            <w:r>
              <w:rPr>
                <w:rFonts w:ascii="Times New Roman" w:eastAsia="Times New Roman" w:hAnsi="Times New Roman" w:cs="Times New Roman"/>
                <w:b/>
                <w:bCs/>
                <w:i w:val="0"/>
                <w:iCs w:val="0"/>
                <w:smallCaps w:val="0"/>
                <w:color w:val="FF0000"/>
              </w:rPr>
              <w:t>Attachments cannot be added to a DOCX compile.</w:t>
            </w:r>
          </w:p>
        </w:tc>
      </w:tr>
    </w:tbl>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