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March 28,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March 28, 2023, at 6:15 PM.</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February 28,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ACF-PI-HS-23-03 Hurricanes Fiona and Ian Recovery Funds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2023-2024 Early Head Start-Child Care Partnership (EHS-CCP) Continuation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Environmental Health and Safety Policy 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Middle of the Year (MOY)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03/24/2023  07:17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