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A Session</w:t>
      </w:r>
      <w:r>
        <w:rPr>
          <w:rStyle w:val="strong"/>
          <w:b/>
          <w:bCs/>
          <w:color w:val="333333"/>
          <w:sz w:val="32"/>
          <w:szCs w:val="32"/>
          <w:lang w:val="en" w:eastAsia="en"/>
        </w:rPr>
        <w:br/>
      </w:r>
      <w:r>
        <w:rPr>
          <w:rStyle w:val="anyCharacter"/>
          <w:color w:val="333333"/>
          <w:lang w:val="en" w:eastAsia="en"/>
        </w:rPr>
        <w:t>Municipal Plaza Building</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76"/>
        <w:gridCol w:w="2431"/>
        <w:gridCol w:w="269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January 26,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located at 114 W. Commerce Street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9:00AM: Call to Order</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PROCEDURAL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minutes for the City Council meetings of January 11, 2023 and January 12,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POINT OF PERSONAL PRIVILEGE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ACTION ITEMS FOR STAFF BRIEFING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2023-01-26-0014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Memorial Street Name Designation of East and West Cevallos to reflect Emma Tenayuca Memorial Way, between IH-35 and Probandt Street. [Roderick Sanchez, Assistance City Manager; Michael Shannon, Director, Development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2023-01-26-0015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accepting the resignation of Councilmember Ana Sandoval, District 7, and initiating procedures to select a temporary Councilmember. [Debbie Racca-Sittre, City Clerk]</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Purchase of Services, Supplies and Equipment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2023-01-26-0016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The Brandt Companies, LLC, to provide the Convention and Sports Facilities Department, with a BTU Boiler System for the Alamodome for a total cost of $107,286. Funding is from the Hotel Occupancy Tax Fund.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2023-01-26-0017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Silsbee Ford Inc., to provide Police Patrol Ford Interceptor Utility Vehicles for an estimated total cost of $8,148,827.70. Funding of $7,991,857.70 is from the FY 2023 Adopted Equipment Renewal and Replacement Fund Budget, and $156,970 is from the FY 2023 Adopted General Fund Budget. [Ben Gorzell Jr., Chief Financial Officer; Troy Elliott, Deputy Chief Financial Officer, Finance]</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Capital Improvements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2023-01-26-0020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a utility contract in the increased amount of $346,903 to the $10,636,237.51 construction contract with E-Z Bel Construction, LLC,  to replace existing brick sanitary sewer utility hole structures as part of the North Main Avenue &amp; Soledad Street (Pecan Street to Navarro Street) Project, a 2017 General Obligation Bond funded project; and authorizing the acceptance of reimbursement in the amount of $346,903 from SAWS for the construction services. [Roderick Sanchez, Assistant City Manager; Razi Hosseini,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2023-01-26-0021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Task Order Contract for Flatwork and Street Improvements Package 1 to Nerie Construction Limited Liability Company in an amount not to exceed $5,005,679 of which $182,050 will be reimbursed by San Antonio Water System for necessary adjustments to their existing infrastructure. Funding is from the General Fund, the Advanced Transportation District Fund and debt proceeds included in the FY 2023 – FY 2028 Capital Improvements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2023-01-26-0022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the 2023 Task Order Contract for Flatwork and Street Improvements Package 2 to F.D. Concrete, LLC in an amount not to exceed $4,544,777, of which $223,765 will be reimbursed by San Antonio Water System for necessary adjustments to their existing infrastructure. Funding is from the General Fund, the Advanced Transportation District Fund and debt proceeds included in the FY 2023 – FY 2028 Capital Improvements Program. [Roderick Sanchez, Assistant City Manager; Razi Hosseini, Director, Public Works]</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Acquisition, Sale or Lease of Real Property</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2023-01-26-0024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the License Agreement between the City of San Antonio and the San Antonio Conservation Society to continue using La Villita space for NIOSA for an additional term of three years, commencing in 2023 and expiring 2025. [Lori Houston, Assistant City Manager; John Jacks, Director, Center City Development and Operations Department].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2023-01-26-0025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two-year extension to the lease agreement between the City of San Antonio and Little Church of La Villita. Revenue of $10,385.13 will be deposited into the General Fund. [Lori Houston, Assistant City Manager; John Jacks, Director, Center City Development and Operations.]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2023-01-26-0026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acquisition through negotiation or condemnation on behalf of CPS Energy of one 7.249 acre parcel and 48 permanent easements of fee simple interests in privately-owned real property in northern Bexar County sufficient for project purposes of constructing a substation and transmission line starting at the existing Ranchtown to Menger Creek 138-kV transmission line and extending in an easterly direction terminating at 25047 Toutant Beauregard Road in northern Bexar County, Texas for the Scenic Loop Substation and Transmission Project; declaring it to be a public use project and a public necessity.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2023-01-26-0027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acquisition through negotiation or condemnation of interests in land on behalf of the Texas General Land Office, sufficient for project purposes involving 516 East Houston Street fee simple parcel of privately-owned real property located in downtown San Antonio of Bexar County in New City Block 423 Block 24 Lot E 36 FT of 2 OR A14, related to the Alamo Visitor Center and Museum and declaring the project to be for public use and a public necessity for the acquisition. [Andy Segovia, City Attorney]</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Grant Applications and Awards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2023-01-26-0028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the acceptance of funds in the amount of up to $284,730 from the Centers for Disease Control and Prevention (CDC) for the Public Health Crisis Response Cooperative Agreement grant to support local public health MPOX prevention and response efforts for the period of December 16, 2022 through December 15, 2023. [Erik Walsh, City Manager; Claude Jacob, Health Director]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2023-01-26-0029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submission of two grant renewal applications, one to the Texas Commission on Environmental Quality (TCEQ) and one to the Department of Homeland Security (DHS) related to the Public Center for Environmental Health’s local air monitoring efforts and authorizing the acceptance of funds in an amount up to $586,897 from TCEQ and DHS for a period beginning June 1, 2023 through August 31, 2024 and authorizing additional personnel. [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2023-01-26-0030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accepting funds upon award in an amount up to $13,437,034 from the Texas Department of State Health Services for public health functions of the San Antonio Metropolitan Health District for the period of July 1, 2023 through December 31, 2024, approving an agreement related to the Title V Dental- Oral Health grant with the University of Texas Health Science Center at San Antonio for an amount up to $160,000 for a term ending August 31, 2024 with options to renew for three, one-year terms, for a cumulative amount up to $640,000 inclusive of renewals, approving contracts with the San Antonio AIDS Foundation, Beat AIDS, Inc., The Center for Health Care Services, Healthy Futures of Texas, Fiesta Youth, and Corazón Ministries, Inc., related to the Ending the HIV Epidemic grant for terms ending July 31, 2024, with the option to renew for one, one-year term for a total amount of $70,000 each, inclusive of renewal, approving the execution of Memoranda of Agreement with no exchange of funds associated with these grant-funded projects, and approving associated personnel complements.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2023-01-26-0031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a request to the U.S. Department of Health and Human Services to consolidate the Department of Human Services existing Head Start and Early Head Start grants and funds in a combined total of $35,336,915 for the period February 1, 2023 to January 31, 2024. [Lori Houston, Assistant City Manager; Melody Woosley, Human Services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2023-01-26-0032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submission of a grant application and the acceptance of funds upon award from the Texas Parks &amp; Wildlife Department for the Outdoor Recreation Legacy Program Grant as part of the National Park Service’s Land and Water Conservation Fund in the amount of $2.5 million for revitalization and development at Cassiano Park, leveraging 2022-2027 Bond Program funding, and authorizing the Parks and Recreation Director to execute any related documents. [David W. McCary, Assistant City Manager; Homer Garcia III, Director, Parks and Recreation]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Boards, Commissions and Committee Appointments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 2023 [Debbie Racca-Sittre, Interim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Approving the appointment of Thomas Marsalia (Edwards Aquifer Authority Representative) to the Conservation Advisory Board</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Approving the appointment of Debra Guerrero (District 3) to the Port Authority of San Antonio</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Miscellaneous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2023-01-26-0033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transfer of operations and management of the Crane Bat Cave preserve from the Edwards Aquifer Protection Program (EAPP) to the Southern Edwards Plateau Habitat Conservation Plan (SEP-HCP), conveyance of a conservation easement to the Edwards Aquifer Conservancy, and appropriates funding in the amount of $2,059,144.18 from the Southern Edwards Plateau Habitat Conservation Plan Fund and authorizes the reimbursement to the 2015 Proposition 1 for the initial purchase of the Crane Bat Cave. [Roderick Sanchez, Assistant City Manager; Michael Shannon, Director, Development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2023-01-26-0034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non-exclusive license agreement with Hooks Gas Pipeline, LLC, to use certain City rights-of-way for the purpose of installing, maintaining and operating natural gas transportation pipeline facilities, for an initial term of ten years. Revenue is estimated to be $117,693.34 in FY 2023 and will be deposited into the General Fund.[Ben Gorzell,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2023-01-26-0035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extending line-of-duty injury leave for San Antonio Fire Department Fire Engineer Robert Despain. [Maria Villagomez, Deputy City Manager; Charles N. Hood, Fire Chief]</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2023-01-26-0036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City of San Antonio's Federal Legislative Program for the 118th U.S. Congress. [Jeff Coyle, Assistant City Manager; Sally Basurto, Director, Government Affairs]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2023-01-26-0037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the City’s State Legislative Program to include support for San Antonio Fire and Police Pension Fund’s 2023 legislative proposal. [Jeff Coyle, Assistant City Manager; Sally Basurto, Director, Government Affairs]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2023-01-26-0038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San Antonio Metropolitan Health District’s continued participation in the Medicaid 1115 (a) Demonstration Waiver Program known as the “Texas Healthcare Transformation and Quality Improvement Program” (the Waiver Program); acceptance of funds reimbursed through year 1 of the Waiver Program’s Public Health Provider Charity Care Program in an amount up to $350,000; approving fiscal year budgets in an amount up to $8,322,541 for the period beginning October 1, 2023 through September 30, 2024 using Waiver Program cash reserve funds; and authorizing the execution of Memoranda of Agreement that enhance program services with no exchange of funds associated with these grant-funded projects. [Erik Walsh, City Manager; Claude A. Jacob, Director, Health]</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Manager's Report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34.</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City Manager’s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Executive Session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anyCharacter"/>
                      <w:b w:val="0"/>
                      <w:bCs w:val="0"/>
                      <w:i w:val="0"/>
                      <w:iCs w:val="0"/>
                      <w:smallCaps w:val="0"/>
                      <w:color w:val="333333"/>
                      <w:lang w:val="en" w:eastAsia="en"/>
                    </w:rPr>
                    <w:t>At any time during the meeting, the City Council may recess into executive session in the B Room to consult with the City Attorney's Office (Texas Government Code Section 551.071) and deliberate or discuss any of the following:</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Economic development negotiations pursuant to Texas Government Code Section 551.087 (economic development).</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strong"/>
          <w:b/>
          <w:bCs/>
          <w:color w:val="333333"/>
          <w:lang w:val="en" w:eastAsia="en"/>
        </w:rPr>
      </w:pPr>
      <w:r>
        <w:rPr>
          <w:rStyle w:val="strong"/>
          <w:b/>
          <w:bCs/>
          <w:color w:val="333333"/>
          <w:lang w:val="en" w:eastAsia="en"/>
        </w:rPr>
        <w:t>THE CITY COUNCIL MAY RECESS FOR LUNCH AND RECONVENE TO CONSIDER ANY UNFINISHED COUNCIL BUSINESS </w:t>
      </w:r>
      <w:r>
        <w:rPr>
          <w:rStyle w:val="strong"/>
          <w:b/>
          <w:bCs/>
          <w:color w:val="333333"/>
          <w:lang w:val="en" w:eastAsia="en"/>
        </w:rPr>
        <w:br/>
      </w:r>
      <w:r>
        <w:rPr>
          <w:rStyle w:val="strong"/>
          <w:b/>
          <w:bCs/>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sz w:val="20"/>
          <w:szCs w:val="20"/>
          <w:lang w:val="en" w:eastAsia="en"/>
        </w:rPr>
        <w:t>Posted on: 02/09/2023  04:56 PM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The purchase, exchange, lease or value of real property pursuant to Texas Government Code Section 551.072 (real property).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related to litigation involving the City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relating to COVID-19 preparedness pursuant to Texas Government Code Section 551.071 (consultation with attorney).</w:t>
            </w:r>
          </w:p>
        </w:tc>
      </w:tr>
    </w:tbl>
    <w:p>
      <w:pPr>
        <w:rPr>
          <w:rFonts w:ascii="Helvetica" w:eastAsia="Helvetica" w:hAnsi="Helvetica" w:cs="Helvetica"/>
          <w:b w:val="0"/>
          <w:bCs w:val="0"/>
          <w:i w:val="0"/>
          <w:iCs w:val="0"/>
          <w:smallCaps w:val="0"/>
          <w:color w:val="333333"/>
          <w:lang w:val="en" w:eastAsia="en"/>
        </w:rPr>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2023-01-26-0039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license agreement with Centric Fiber, LLC, for the Installation of fiber optic cable facilities in the City's public right-of-way to provide broadband internet access service. [Ben Gorzell, Chief Financial Officer; Craig Hopkins, Chief Information Officer, Information Technology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2023-01-26-0040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Interlocal Agreement between the City of San Antonio and Bexar County to accept and appropriate funds in the amount of $263,958 into the Storm Water Operating Fund from Bexar County for the completion of the Kampmann Boulevard Preliminary Engineering Report.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2023-01-26-0041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responsible bidder program for low bid construction contracts, including best value criteria and authorizing the City to deny contracts or other transactions with a person or company not deemed a responsible bidder under the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2023-01-26-0042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establishment of a Streets, Bridges, and Sidewalks Advisory Board and a Storm Water Management Advisory Board to provide oversight of the completion of the 2022 Bond Program projects included in the Streets, Bridges, and Sidewalks and Drainage and Flood Control Propositions.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pPr>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pPr>
        <w:bidi w:val="0"/>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2023-01-26-0023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capital improvement expenditure in the amount of $1,097,748 payable to J. Sanchez Contracting, Inc., for the Spigel Trailhead at Guilbeau Rd. (French Creek) Project. Funding is from the voter approved Sales Tax Venue funds of which $368,752.68 is from the French Creek project and $485,685.32 will be reallocated from the Trail Connections, Parking, and Other Enhancements project to the French Creek project included in the FY 2023 – FY 2028 Capital Improvement Program. This ordinance also appropriates $243,310 from the FY 2023 Tree Canopy Preservation and Mitigation Fund which will be used for tree plantings and irrigation support. [David W. McCary, Assistant City Manager; Homer Garcia III, Director, Parks &amp; Recreation]</w:t>
            </w:r>
          </w:p>
        </w:tc>
      </w:tr>
    </w:tbl>
    <w:p>
      <w:pPr>
        <w:rPr>
          <w:rFonts w:ascii="Helvetica" w:eastAsia="Helvetica" w:hAnsi="Helvetica" w:cs="Helvetica"/>
          <w:b w:val="0"/>
          <w:bCs w:val="0"/>
          <w:i w:val="0"/>
          <w:iCs w:val="0"/>
          <w:smallCaps w:val="0"/>
          <w:color w:val="333333"/>
          <w:lang w:val="en" w:eastAsia="en"/>
        </w:rPr>
        <w:sectPr>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2023-01-26-0018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Cavender Ford Motor Company, Ltd., to provide one box truck for the San Antonio Police Department for a total cost of $58,965. Funding is from the Bureau of Justice Assistance (BJA) FY 2020 Coronavirus Emergency Supplemental Funding Program Grant.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2023-01-26-0019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Honeywell Building Solutions to provide the Convention and Sports Facilities Department with maintenance for software, hardware enhancements, and support for the Enterprise Building Integrator (EBI) system for an estimated annual cost of $1,553,000. Funding is from the respective department's FY 2023 Adopted Budget. Funding for subsequent years is contingent upon City Council approval of the annual budget. [Ben Gorzell Jr., Chief Financial Officer; Troy Elliott, Deputy Chief Financial Officer, Finance]</w:t>
            </w:r>
          </w:p>
        </w:tc>
      </w:tr>
    </w:tbl>
    <w:p>
      <w:pPr>
        <w:rPr>
          <w:rFonts w:ascii="Helvetica" w:eastAsia="Helvetica" w:hAnsi="Helvetica" w:cs="Helvetica"/>
          <w:b w:val="0"/>
          <w:bCs w:val="0"/>
          <w:i w:val="0"/>
          <w:iCs w:val="0"/>
          <w:smallCaps w:val="0"/>
          <w:color w:val="333333"/>
          <w:lang w:val="en" w:eastAsia="en"/>
        </w:rPr>
      </w:pPr>
    </w:p>
    <w:sectPr>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8</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header" Target="header22.xml" /><Relationship Id="rId5" Type="http://schemas.openxmlformats.org/officeDocument/2006/relationships/header" Target="header2.xml" /><Relationship Id="rId50" Type="http://schemas.openxmlformats.org/officeDocument/2006/relationships/header" Target="header23.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header" Target="header25.xml" /><Relationship Id="rId56" Type="http://schemas.openxmlformats.org/officeDocument/2006/relationships/header" Target="header26.xml" /><Relationship Id="rId57" Type="http://schemas.openxmlformats.org/officeDocument/2006/relationships/footer" Target="footer25.xml" /><Relationship Id="rId58" Type="http://schemas.openxmlformats.org/officeDocument/2006/relationships/footer" Target="footer26.xml" /><Relationship Id="rId59" Type="http://schemas.openxmlformats.org/officeDocument/2006/relationships/header" Target="header27.xml" /><Relationship Id="rId6" Type="http://schemas.openxmlformats.org/officeDocument/2006/relationships/footer" Target="footer1.xml" /><Relationship Id="rId60" Type="http://schemas.openxmlformats.org/officeDocument/2006/relationships/footer" Target="footer27.xml" /><Relationship Id="rId61" Type="http://schemas.openxmlformats.org/officeDocument/2006/relationships/theme" Target="theme/theme1.xml" /><Relationship Id="rId62" Type="http://schemas.openxmlformats.org/officeDocument/2006/relationships/styles" Target="styles.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8</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