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2.0 -->
  <w:body>
    <w:p>
      <w:pPr>
        <w:pStyle w:val="any"/>
        <w:bidi w:val="0"/>
        <w:spacing w:before="0" w:line="300" w:lineRule="atLeast"/>
        <w:ind w:left="0" w:right="0"/>
        <w:jc w:val="center"/>
        <w:rPr>
          <w:rFonts w:ascii="Helvetica" w:eastAsia="Helvetica" w:hAnsi="Helvetica" w:cs="Helvetica"/>
          <w:color w:val="333333"/>
          <w:sz w:val="21"/>
          <w:szCs w:val="21"/>
          <w:lang w:val="en" w:eastAsia="en"/>
        </w:rPr>
      </w:pPr>
      <w:r>
        <w:rPr>
          <w:rStyle w:val="strong"/>
          <w:b/>
          <w:bCs/>
          <w:color w:val="333333"/>
          <w:sz w:val="32"/>
          <w:szCs w:val="32"/>
          <w:lang w:val="en" w:eastAsia="en"/>
        </w:rPr>
        <w:t>City of San Antonio</w:t>
      </w:r>
      <w:r>
        <w:rPr>
          <w:rStyle w:val="strong"/>
          <w:b/>
          <w:bCs/>
          <w:color w:val="333333"/>
          <w:sz w:val="32"/>
          <w:szCs w:val="32"/>
          <w:lang w:val="en" w:eastAsia="en"/>
        </w:rPr>
        <w:br/>
      </w:r>
      <w:r>
        <w:rPr>
          <w:rStyle w:val="anyCharacter"/>
          <w:strike w:val="0"/>
          <w:color w:val="428BCA"/>
          <w:u w:val="none"/>
          <w:bdr w:val="none" w:sz="0" w:space="0" w:color="auto"/>
          <w:lang w:val="en" w:eastAsia="en"/>
        </w:rPr>
        <w:drawing>
          <wp:inline>
            <wp:extent cx="952500" cy="933450"/>
            <wp:docPr id="100001" name="">
              <a:hlinkClick xmlns:a="http://schemas.openxmlformats.org/drawingml/2006/main" xmlns:r="http://schemas.openxmlformats.org/officeDocument/2006/relationships"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5"/>
                    <a:stretch>
                      <a:fillRect/>
                    </a:stretch>
                  </pic:blipFill>
                  <pic:spPr>
                    <a:xfrm>
                      <a:off x="0" y="0"/>
                      <a:ext cx="952500" cy="933450"/>
                    </a:xfrm>
                    <a:prstGeom prst="rect">
                      <a:avLst/>
                    </a:prstGeom>
                    <a:ln>
                      <a:noFill/>
                    </a:ln>
                  </pic:spPr>
                </pic:pic>
              </a:graphicData>
            </a:graphic>
          </wp:inline>
        </w:drawing>
      </w:r>
      <w:r>
        <w:rPr>
          <w:rStyle w:val="anyCharacter"/>
          <w:strike w:val="0"/>
          <w:color w:val="428BCA"/>
          <w:u w:val="none"/>
          <w:bdr w:val="none" w:sz="0" w:space="0" w:color="auto"/>
          <w:lang w:val="en" w:eastAsia="en"/>
        </w:rPr>
        <w:br/>
      </w:r>
      <w:r>
        <w:rPr>
          <w:rStyle w:val="strong"/>
          <w:b/>
          <w:bCs/>
          <w:color w:val="333333"/>
          <w:sz w:val="32"/>
          <w:szCs w:val="32"/>
          <w:lang w:val="en" w:eastAsia="en"/>
        </w:rPr>
        <w:t>AGENDA</w:t>
      </w:r>
      <w:r>
        <w:rPr>
          <w:rStyle w:val="strong"/>
          <w:b/>
          <w:bCs/>
          <w:color w:val="333333"/>
          <w:sz w:val="32"/>
          <w:szCs w:val="32"/>
          <w:lang w:val="en" w:eastAsia="en"/>
        </w:rPr>
        <w:br/>
      </w:r>
      <w:r>
        <w:rPr>
          <w:rStyle w:val="strong"/>
          <w:b/>
          <w:bCs/>
          <w:color w:val="333333"/>
          <w:sz w:val="32"/>
          <w:szCs w:val="32"/>
          <w:lang w:val="en" w:eastAsia="en"/>
        </w:rPr>
        <w:t>Naming Committee of the San Antonio Public Library Board of Trustees</w:t>
      </w:r>
      <w:r>
        <w:rPr>
          <w:rStyle w:val="strong"/>
          <w:b/>
          <w:bCs/>
          <w:color w:val="333333"/>
          <w:sz w:val="32"/>
          <w:szCs w:val="32"/>
          <w:lang w:val="en" w:eastAsia="en"/>
        </w:rPr>
        <w:br/>
      </w:r>
      <w:r>
        <w:rPr>
          <w:rFonts w:ascii="Helvetica" w:eastAsia="Helvetica" w:hAnsi="Helvetica" w:cs="Helvetica"/>
          <w:color w:val="333333"/>
          <w:sz w:val="21"/>
          <w:szCs w:val="21"/>
          <w:lang w:val="en" w:eastAsia="en"/>
        </w:rPr>
        <w:t xml:space="preserve">  </w:t>
      </w:r>
    </w:p>
    <w:tbl>
      <w:tblPr>
        <w:tblStyle w:val="table"/>
        <w:tblW w:w="5000" w:type="pct"/>
        <w:tblInd w:w="20" w:type="dxa"/>
        <w:tblCellMar>
          <w:top w:w="15" w:type="dxa"/>
          <w:left w:w="15" w:type="dxa"/>
          <w:bottom w:w="15" w:type="dxa"/>
          <w:right w:w="15" w:type="dxa"/>
        </w:tblCellMar>
        <w:tblLook w:val="05E0"/>
      </w:tblPr>
      <w:tblGrid>
        <w:gridCol w:w="4236"/>
        <w:gridCol w:w="2501"/>
        <w:gridCol w:w="2663"/>
      </w:tblGrid>
      <w:tr>
        <w:tblPrEx>
          <w:tblW w:w="5000" w:type="pct"/>
          <w:tblInd w:w="20" w:type="dxa"/>
          <w:tblCellMar>
            <w:top w:w="15" w:type="dxa"/>
            <w:left w:w="15" w:type="dxa"/>
            <w:bottom w:w="15" w:type="dxa"/>
            <w:right w:w="15" w:type="dxa"/>
          </w:tblCellMar>
          <w:tblLook w:val="05E0"/>
        </w:tblPrEx>
        <w:tc>
          <w:tcPr>
            <w:tcW w:w="11635" w:type="dxa"/>
            <w:noWrap w:val="0"/>
            <w:tcMar>
              <w:top w:w="20" w:type="dxa"/>
              <w:left w:w="20" w:type="dxa"/>
              <w:bottom w:w="20" w:type="dxa"/>
              <w:right w:w="20" w:type="dxa"/>
            </w:tcMar>
            <w:vAlign w:val="center"/>
            <w:hideMark/>
          </w:tcPr>
          <w:p>
            <w:pPr>
              <w:bidi w:val="0"/>
              <w:jc w:val="lef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Saturday, December 3, 2022</w:t>
            </w:r>
          </w:p>
        </w:tc>
        <w:tc>
          <w:tcPr>
            <w:tcW w:w="6955" w:type="dxa"/>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11:00 AM</w:t>
            </w:r>
          </w:p>
        </w:tc>
        <w:tc>
          <w:tcPr>
            <w:tcW w:w="6400" w:type="dxa"/>
            <w:noWrap w:val="0"/>
            <w:tcMar>
              <w:top w:w="20" w:type="dxa"/>
              <w:left w:w="20" w:type="dxa"/>
              <w:bottom w:w="20" w:type="dxa"/>
              <w:right w:w="20" w:type="dxa"/>
            </w:tcMar>
            <w:vAlign w:val="center"/>
            <w:hideMark/>
          </w:tcPr>
          <w:p>
            <w:pPr>
              <w:bidi w:val="0"/>
              <w:jc w:val="right"/>
              <w:rPr>
                <w:rFonts w:ascii="Helvetica" w:eastAsia="Helvetica" w:hAnsi="Helvetica" w:cs="Helvetica"/>
                <w:b w:val="0"/>
                <w:bCs w:val="0"/>
                <w:i w:val="0"/>
                <w:iCs w:val="0"/>
                <w:smallCaps w:val="0"/>
                <w:color w:val="333333"/>
                <w:lang w:val="en" w:eastAsia="en"/>
              </w:rPr>
            </w:pPr>
            <w:r>
              <w:rPr>
                <w:rStyle w:val="anyCharacter"/>
                <w:b/>
                <w:bCs/>
                <w:i w:val="0"/>
                <w:iCs w:val="0"/>
                <w:smallCaps w:val="0"/>
                <w:color w:val="333333"/>
                <w:lang w:val="en" w:eastAsia="en"/>
              </w:rPr>
              <w:t>Thousand Oaks Branch Library, 4618 Thousand Oaks, San Antonio, Texas 78233</w:t>
            </w: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pict>
          <v:rect id="_x0000_i1025" style="width:468pt;height:0.75pt" o:hrpct="1000" o:hralign="center" o:hrstd="t" o:hr="t" filled="t" fillcolor="gray" stroked="f">
            <v:path strokeok="f"/>
          </v:rect>
        </w:pict>
      </w:r>
    </w:p>
    <w:p>
      <w:pPr>
        <w:pStyle w:val="any"/>
        <w:bidi w:val="0"/>
        <w:spacing w:line="300" w:lineRule="atLeast"/>
        <w:ind w:left="0" w:right="0"/>
        <w:jc w:val="both"/>
        <w:rPr>
          <w:rFonts w:ascii="Helvetica" w:eastAsia="Helvetica" w:hAnsi="Helvetica" w:cs="Helvetica"/>
          <w:color w:val="333333"/>
          <w:sz w:val="21"/>
          <w:szCs w:val="21"/>
          <w:lang w:val="en" w:eastAsia="en"/>
        </w:rPr>
      </w:pPr>
      <w:r>
        <w:rPr>
          <w:rStyle w:val="anyCharacter"/>
          <w:color w:val="333333"/>
          <w:lang w:val="en" w:eastAsia="en"/>
        </w:rPr>
        <w:t>The Naming Committee of the San Antonio Public Library Board of Trustees will hold a public meeting in the Thousand Oaks Branch Library, 4618 Thousand Oaks, San Antonio, Texas 78233 beginning at 11:00 AM. Once convened, the Naming Committee of the San Antonio Public Library Board of Trustees will receive public comments on the proposal to consider naming the meeting room at the Thousand Oaks Branch Library in the memory of Grace E. Lorton.</w:t>
      </w:r>
      <w:r>
        <w:rPr>
          <w:rStyle w:val="anyCharacter"/>
          <w:color w:val="333333"/>
          <w:lang w:val="en" w:eastAsia="en"/>
        </w:rPr>
        <w:br/>
      </w:r>
      <w:r>
        <w:rPr>
          <w:rStyle w:val="anyCharacter"/>
          <w:color w:val="333333"/>
          <w:lang w:val="en" w:eastAsia="en"/>
        </w:rPr>
        <w:br/>
      </w:r>
      <w:r>
        <w:rPr>
          <w:rStyle w:val="anyCharacter"/>
          <w:color w:val="333333"/>
          <w:lang w:val="en" w:eastAsia="en"/>
        </w:rPr>
        <w:t>Public comment may be provided as follows:</w:t>
      </w:r>
      <w:r>
        <w:rPr>
          <w:rStyle w:val="anyCharacter"/>
          <w:color w:val="333333"/>
          <w:lang w:val="en" w:eastAsia="en"/>
        </w:rPr>
        <w:br/>
      </w:r>
      <w:r>
        <w:rPr>
          <w:rStyle w:val="anyCharacter"/>
          <w:color w:val="333333"/>
          <w:lang w:val="en" w:eastAsia="en"/>
        </w:rPr>
        <w:br/>
      </w:r>
      <w:r>
        <w:rPr>
          <w:rStyle w:val="anyCharacter"/>
          <w:color w:val="333333"/>
          <w:lang w:val="en" w:eastAsia="en"/>
        </w:rPr>
        <w:t>1. Submit written comments via the Library's website (https://www.mysapl.org/About/Board of Trustees). Comments are limited to 300 words and will be read for the record at the time the item is heard. Please include your full name, home or work address and item number.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2. Drop off a written statement at Central Library, 600 Soledad, San Antonio, Texas 78205. The written statement can be up to 300 words. Please include your full name, home or work address and item #, if applicable, you are speaking about. These statements will be read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3. Leave a voice message of a maximum three (3) minutes by dialing 210-207-2595. Your message will be played during the meeting. Please include your full name, home or work address and item #, if applicable, you are speaking about. These statements will be played for the record during Public Comment.</w:t>
      </w:r>
      <w:r>
        <w:rPr>
          <w:rStyle w:val="anyCharacter"/>
          <w:color w:val="333333"/>
          <w:lang w:val="en" w:eastAsia="en"/>
        </w:rPr>
        <w:br/>
      </w:r>
      <w:r>
        <w:rPr>
          <w:rStyle w:val="anyCharacter"/>
          <w:color w:val="333333"/>
          <w:lang w:val="en" w:eastAsia="en"/>
        </w:rPr>
        <w:br/>
      </w:r>
      <w:r>
        <w:rPr>
          <w:rStyle w:val="anyCharacter"/>
          <w:color w:val="333333"/>
          <w:lang w:val="en" w:eastAsia="en"/>
        </w:rPr>
        <w:t>4. Sign up in person: Members of the public are given three (3) minutes to speak, and groups are given nine (9) minutes to address the Naming Committee. Members of the public must register in person (fill out provided sign in sheet) prior to 11:00 a.m.</w:t>
      </w:r>
      <w:r>
        <w:rPr>
          <w:rStyle w:val="anyCharacter"/>
          <w:color w:val="333333"/>
          <w:lang w:val="en" w:eastAsia="en"/>
        </w:rPr>
        <w:br/>
      </w:r>
      <w:r>
        <w:rPr>
          <w:rStyle w:val="anyCharacter"/>
          <w:color w:val="333333"/>
          <w:lang w:val="en" w:eastAsia="en"/>
        </w:rPr>
        <w:br/>
      </w:r>
      <w:r>
        <w:rPr>
          <w:rStyle w:val="anyCharacter"/>
          <w:color w:val="333333"/>
          <w:lang w:val="en" w:eastAsia="en"/>
        </w:rPr>
        <w:t>Note: Comments may be submitted in English or Spanish. Written comments and voice messages must be received by Friday, (December 2, 2022) at 12 p.m. CT to allow time for translation. </w:t>
      </w:r>
      <w:r>
        <w:rPr>
          <w:rStyle w:val="anyCharacter"/>
          <w:color w:val="333333"/>
          <w:lang w:val="en" w:eastAsia="en"/>
        </w:rPr>
        <w:br/>
      </w:r>
      <w:r>
        <w:rPr>
          <w:rStyle w:val="anyCharacter"/>
          <w:color w:val="333333"/>
          <w:lang w:val="en" w:eastAsia="en"/>
        </w:rPr>
        <w:br/>
      </w:r>
      <w:r>
        <w:rPr>
          <w:rStyle w:val="anyCharacter"/>
          <w:color w:val="333333"/>
          <w:lang w:val="en" w:eastAsia="en"/>
        </w:rPr>
        <w:t>The meeting URL is also available on the Library’s website at https://www.mysapl.org/About/Board of Trustees#176431873 meetings.</w:t>
      </w:r>
      <w:r>
        <w:rPr>
          <w:rStyle w:val="anyCharacter"/>
          <w:color w:val="333333"/>
          <w:lang w:val="en" w:eastAsia="en"/>
        </w:rPr>
        <w:br/>
      </w:r>
      <w:r>
        <w:rPr>
          <w:rStyle w:val="anyCharacter"/>
          <w:color w:val="333333"/>
          <w:lang w:val="en" w:eastAsia="en"/>
        </w:rPr>
        <w:br/>
      </w:r>
      <w:r>
        <w:rPr>
          <w:rStyle w:val="anyCharacter"/>
          <w:color w:val="333333"/>
          <w:lang w:val="en" w:eastAsia="en"/>
        </w:rPr>
        <w:t>The Naming Committee of the San Antonio Public Library Board of Trustees shall consider the following:</w:t>
      </w:r>
    </w:p>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0" w:type="dxa"/>
              <w:bottom w:w="20" w:type="dxa"/>
              <w:right w:w="20" w:type="dxa"/>
            </w:tcMar>
            <w:vAlign w:val="center"/>
            <w:hideMark/>
          </w:tcPr>
          <w:tbl>
            <w:tblPr>
              <w:tblStyle w:val="table"/>
              <w:tblW w:w="5000" w:type="pct"/>
              <w:tblCellMar>
                <w:top w:w="15" w:type="dxa"/>
                <w:left w:w="15" w:type="dxa"/>
                <w:bottom w:w="15" w:type="dxa"/>
                <w:right w:w="15" w:type="dxa"/>
              </w:tblCellMar>
              <w:tblLook w:val="05E0"/>
            </w:tblPr>
            <w:tblGrid>
              <w:gridCol w:w="9360"/>
            </w:tblGrid>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p>
                  <w:pPr>
                    <w:bidi w:val="0"/>
                    <w:rPr>
                      <w:rFonts w:ascii="Helvetica" w:eastAsia="Helvetica" w:hAnsi="Helvetica" w:cs="Helvetica"/>
                      <w:b w:val="0"/>
                      <w:bCs w:val="0"/>
                      <w:i w:val="0"/>
                      <w:iCs w:val="0"/>
                      <w:smallCaps w:val="0"/>
                      <w:color w:val="333333"/>
                      <w:lang w:val="en" w:eastAsia="en"/>
                    </w:rPr>
                  </w:pPr>
                  <w:r>
                    <w:rPr>
                      <w:rStyle w:val="strong"/>
                      <w:b/>
                      <w:bCs/>
                      <w:i w:val="0"/>
                      <w:iCs w:val="0"/>
                      <w:smallCaps w:val="0"/>
                      <w:color w:val="333333"/>
                      <w:lang w:val="en" w:eastAsia="en"/>
                    </w:rPr>
                    <w:t>Briefing and Possible Action on the following items</w:t>
                  </w:r>
                  <w:r>
                    <w:rPr>
                      <w:rStyle w:val="strong"/>
                      <w:b/>
                      <w:bCs/>
                      <w:i w:val="0"/>
                      <w:iCs w:val="0"/>
                      <w:smallCaps w:val="0"/>
                      <w:color w:val="333333"/>
                      <w:lang w:val="en" w:eastAsia="en"/>
                    </w:rPr>
                    <w:br/>
                  </w:r>
                  <w:r>
                    <w:rPr>
                      <w:rFonts w:ascii="Helvetica" w:eastAsia="Helvetica" w:hAnsi="Helvetica" w:cs="Helvetica"/>
                      <w:b w:val="0"/>
                      <w:bCs w:val="0"/>
                      <w:i w:val="0"/>
                      <w:iCs w:val="0"/>
                      <w:smallCaps w:val="0"/>
                      <w:color w:val="333333"/>
                      <w:lang w:val="en" w:eastAsia="en"/>
                    </w:rPr>
                    <w:t> </w:t>
                  </w:r>
                </w:p>
              </w:tc>
            </w:tr>
            <w:tr>
              <w:tblPrEx>
                <w:tblW w:w="5000" w:type="pct"/>
                <w:tblCellMar>
                  <w:top w:w="15" w:type="dxa"/>
                  <w:left w:w="15" w:type="dxa"/>
                  <w:bottom w:w="15" w:type="dxa"/>
                  <w:right w:w="15" w:type="dxa"/>
                </w:tblCellMar>
                <w:tblLook w:val="05E0"/>
              </w:tblPrEx>
              <w:tc>
                <w:tcPr>
                  <w:noWrap w:val="0"/>
                  <w:tcMar>
                    <w:top w:w="20" w:type="dxa"/>
                    <w:left w:w="20" w:type="dxa"/>
                    <w:bottom w:w="20" w:type="dxa"/>
                    <w:right w:w="20" w:type="dxa"/>
                  </w:tcMar>
                  <w:vAlign w:val="center"/>
                  <w:hideMark/>
                </w:tcPr>
                <w:tbl>
                  <w:tblPr>
                    <w:tblStyle w:val="divdata-sectionidtdnth-last-child1table"/>
                    <w:tblW w:w="5000" w:type="pct"/>
                    <w:tblCellMar>
                      <w:top w:w="15" w:type="dxa"/>
                      <w:left w:w="15" w:type="dxa"/>
                      <w:bottom w:w="75" w:type="dxa"/>
                      <w:right w:w="15" w:type="dxa"/>
                    </w:tblCellMar>
                    <w:tblLook w:val="05E0"/>
                  </w:tblPr>
                  <w:tblGrid>
                    <w:gridCol w:w="460"/>
                    <w:gridCol w:w="8900"/>
                  </w:tblGrid>
                  <w:tr>
                    <w:tblPrEx>
                      <w:tblW w:w="5000" w:type="pct"/>
                      <w:tblCellMar>
                        <w:top w:w="15" w:type="dxa"/>
                        <w:left w:w="15" w:type="dxa"/>
                        <w:bottom w:w="75" w:type="dxa"/>
                        <w:right w:w="15" w:type="dxa"/>
                      </w:tblCellMar>
                      <w:tblLook w:val="05E0"/>
                    </w:tblPrEx>
                    <w:tc>
                      <w:tcPr>
                        <w:tcW w:w="250" w:type="pct"/>
                        <w:noWrap/>
                        <w:tcMar>
                          <w:top w:w="20" w:type="dxa"/>
                          <w:left w:w="155" w:type="dxa"/>
                          <w:bottom w:w="20" w:type="dxa"/>
                          <w:right w:w="0" w:type="dxa"/>
                        </w:tcMar>
                        <w:vAlign w:val="top"/>
                        <w:hideMark/>
                      </w:tcPr>
                      <w:p>
                        <w:pPr>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1.</w:t>
                        </w:r>
                      </w:p>
                    </w:tc>
                    <w:tc>
                      <w:tcPr>
                        <w:tcW w:w="5000" w:type="pct"/>
                        <w:noWrap w:val="0"/>
                        <w:tcMar>
                          <w:top w:w="20" w:type="dxa"/>
                          <w:left w:w="155" w:type="dxa"/>
                          <w:bottom w:w="20" w:type="dxa"/>
                          <w:right w:w="20" w:type="dxa"/>
                        </w:tcMar>
                        <w:vAlign w:val="center"/>
                        <w:hideMark/>
                      </w:tcPr>
                      <w:p>
                        <w:pPr>
                          <w:pStyle w:val="any"/>
                          <w:bidi w:val="0"/>
                          <w:rPr>
                            <w:rFonts w:ascii="Helvetica" w:eastAsia="Helvetica" w:hAnsi="Helvetica" w:cs="Helvetica"/>
                            <w:b w:val="0"/>
                            <w:bCs w:val="0"/>
                            <w:i w:val="0"/>
                            <w:iCs w:val="0"/>
                            <w:smallCaps w:val="0"/>
                            <w:color w:val="333333"/>
                            <w:lang w:val="en" w:eastAsia="en"/>
                          </w:rPr>
                        </w:pPr>
                        <w:r>
                          <w:rPr>
                            <w:rStyle w:val="anyCharacter"/>
                            <w:b w:val="0"/>
                            <w:bCs w:val="0"/>
                            <w:i w:val="0"/>
                            <w:iCs w:val="0"/>
                            <w:smallCaps w:val="0"/>
                            <w:color w:val="333333"/>
                            <w:lang w:val="en" w:eastAsia="en"/>
                          </w:rPr>
                          <w:t>Receive Public Comments on the proposal to consider adding the name Grace E. Lorton to the official name of the meeting room at the Thousand Oaks Branch Library . Information. [Judy Cruz, Naming Committee Chair]</w:t>
                        </w:r>
                      </w:p>
                    </w:tc>
                  </w:tr>
                </w:tbl>
                <w:p>
                  <w:pPr>
                    <w:rPr>
                      <w:rFonts w:ascii="Helvetica" w:eastAsia="Helvetica" w:hAnsi="Helvetica" w:cs="Helvetica"/>
                      <w:b w:val="0"/>
                      <w:bCs w:val="0"/>
                      <w:i w:val="0"/>
                      <w:iCs w:val="0"/>
                      <w:smallCaps w:val="0"/>
                      <w:color w:val="333333"/>
                      <w:lang w:val="en" w:eastAsia="en"/>
                    </w:rPr>
                  </w:pPr>
                </w:p>
              </w:tc>
            </w:tr>
          </w:tbl>
          <w:p>
            <w:pPr>
              <w:rPr>
                <w:rFonts w:ascii="Helvetica" w:eastAsia="Helvetica" w:hAnsi="Helvetica" w:cs="Helvetica"/>
                <w:b w:val="0"/>
                <w:bCs w:val="0"/>
                <w:i w:val="0"/>
                <w:iCs w:val="0"/>
                <w:smallCaps w:val="0"/>
                <w:color w:val="333333"/>
                <w:lang w:val="en" w:eastAsia="en"/>
              </w:rPr>
            </w:pPr>
          </w:p>
        </w:tc>
      </w:tr>
    </w:tbl>
    <w:p>
      <w:pPr>
        <w:pStyle w:val="any"/>
        <w:bidi w:val="0"/>
        <w:spacing w:line="300" w:lineRule="atLeast"/>
        <w:ind w:left="0" w:right="0"/>
        <w:jc w:val="center"/>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strong"/>
          <w:b/>
          <w:bCs/>
          <w:color w:val="333333"/>
          <w:lang w:val="en" w:eastAsia="en"/>
        </w:rPr>
        <w:t>DISABILITY ACCESS STATEMENT</w:t>
      </w:r>
      <w:r>
        <w:rPr>
          <w:rStyle w:val="strong"/>
          <w:b/>
          <w:bCs/>
          <w:color w:val="333333"/>
          <w:lang w:val="en" w:eastAsia="en"/>
        </w:rPr>
        <w:br/>
      </w:r>
      <w:r>
        <w:rPr>
          <w:rStyle w:val="strong"/>
          <w:b/>
          <w:bCs/>
          <w:color w:val="333333"/>
          <w:lang w:val="en" w:eastAsia="en"/>
        </w:rPr>
        <w:t>This meeting site is wheelchair accessible. Auxiliary Aids and Services, including Deaf</w:t>
      </w:r>
      <w:r>
        <w:rPr>
          <w:rStyle w:val="strong"/>
          <w:b/>
          <w:bCs/>
          <w:color w:val="333333"/>
          <w:lang w:val="en" w:eastAsia="en"/>
        </w:rPr>
        <w:br/>
      </w:r>
      <w:r>
        <w:rPr>
          <w:rStyle w:val="strong"/>
          <w:b/>
          <w:bCs/>
          <w:color w:val="333333"/>
          <w:lang w:val="en" w:eastAsia="en"/>
        </w:rPr>
        <w:t>interpreters, must be requested forty-eight</w:t>
      </w:r>
      <w:r>
        <w:rPr>
          <w:rStyle w:val="strong"/>
          <w:b/>
          <w:bCs/>
          <w:color w:val="333333"/>
          <w:lang w:val="en" w:eastAsia="en"/>
        </w:rPr>
        <w:br/>
      </w:r>
      <w:r>
        <w:rPr>
          <w:rStyle w:val="strong"/>
          <w:b/>
          <w:bCs/>
          <w:color w:val="333333"/>
          <w:lang w:val="en" w:eastAsia="en"/>
        </w:rPr>
        <w:t>[48] hours prior to the meeting. For assistance, call</w:t>
      </w:r>
      <w:r>
        <w:rPr>
          <w:rStyle w:val="strong"/>
          <w:b/>
          <w:bCs/>
          <w:color w:val="333333"/>
          <w:lang w:val="en" w:eastAsia="en"/>
        </w:rPr>
        <w:br/>
      </w:r>
      <w:r>
        <w:rPr>
          <w:rStyle w:val="strong"/>
          <w:b/>
          <w:bCs/>
          <w:color w:val="333333"/>
          <w:lang w:val="en" w:eastAsia="en"/>
        </w:rPr>
        <w:t>(210) 207-2644 or 711 Texas Relay Service for the Deaf.</w:t>
      </w:r>
      <w:r>
        <w:rPr>
          <w:rStyle w:val="strong"/>
          <w:b/>
          <w:bCs/>
          <w:color w:val="333333"/>
          <w:lang w:val="en" w:eastAsia="en"/>
        </w:rPr>
        <w:br/>
      </w:r>
      <w:r>
        <w:rPr>
          <w:rFonts w:ascii="Helvetica" w:eastAsia="Helvetica" w:hAnsi="Helvetica" w:cs="Helvetica"/>
          <w:color w:val="333333"/>
          <w:sz w:val="21"/>
          <w:szCs w:val="21"/>
          <w:lang w:val="en" w:eastAsia="en"/>
        </w:rPr>
        <w:t> </w:t>
      </w:r>
    </w:p>
    <w:p>
      <w:pPr>
        <w:bidi w:val="0"/>
        <w:spacing w:after="0" w:line="300" w:lineRule="atLeast"/>
        <w:ind w:left="0" w:right="0"/>
        <w:rPr>
          <w:rFonts w:ascii="Helvetica" w:eastAsia="Helvetica" w:hAnsi="Helvetica" w:cs="Helvetica"/>
          <w:color w:val="333333"/>
          <w:sz w:val="21"/>
          <w:szCs w:val="21"/>
          <w:lang w:val="en" w:eastAsia="en"/>
        </w:rPr>
      </w:pPr>
      <w:r>
        <w:rPr>
          <w:rFonts w:ascii="Helvetica" w:eastAsia="Helvetica" w:hAnsi="Helvetica" w:cs="Helvetica"/>
          <w:color w:val="333333"/>
          <w:sz w:val="21"/>
          <w:szCs w:val="21"/>
          <w:lang w:val="en" w:eastAsia="en"/>
        </w:rPr>
        <w:t> </w:t>
      </w:r>
      <w:r>
        <w:rPr>
          <w:rFonts w:ascii="Helvetica" w:eastAsia="Helvetica" w:hAnsi="Helvetica" w:cs="Helvetica"/>
          <w:color w:val="333333"/>
          <w:sz w:val="21"/>
          <w:szCs w:val="21"/>
          <w:lang w:val="en" w:eastAsia="en"/>
        </w:rPr>
        <w:br/>
      </w:r>
      <w:r>
        <w:rPr>
          <w:rFonts w:ascii="Helvetica" w:eastAsia="Helvetica" w:hAnsi="Helvetica" w:cs="Helvetica"/>
          <w:color w:val="333333"/>
          <w:sz w:val="21"/>
          <w:szCs w:val="21"/>
          <w:lang w:val="en" w:eastAsia="en"/>
        </w:rPr>
        <w:br/>
      </w:r>
      <w:r>
        <w:rPr>
          <w:rStyle w:val="anyCharacter"/>
          <w:color w:val="333333"/>
          <w:lang w:val="en" w:eastAsia="en"/>
        </w:rPr>
        <w:t>                               </w:t>
      </w:r>
      <w:r>
        <w:rPr>
          <w:rStyle w:val="anyCharacter"/>
          <w:color w:val="333333"/>
          <w:lang w:val="en" w:eastAsia="en"/>
        </w:rPr>
        <w:br/>
      </w:r>
      <w:r>
        <w:rPr>
          <w:rStyle w:val="anyCharacter"/>
          <w:color w:val="333333"/>
          <w:lang w:val="en" w:eastAsia="en"/>
        </w:rPr>
        <w:t>                                                                                                                                                      Posted on: 10/31/2022  12:18 PM</w:t>
      </w:r>
    </w:p>
    <w:sectPr>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Helvetica">
    <w:charset w:val="00"/>
    <w:family w:val="auto"/>
    <w:pitch w:val="default"/>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TrueTypeFonts/>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any">
    <w:name w:val="any"/>
    <w:basedOn w:val="Normal"/>
  </w:style>
  <w:style w:type="character" w:customStyle="1" w:styleId="anyCharacter">
    <w:name w:val="any Character"/>
    <w:basedOn w:val="DefaultParagraphFont"/>
  </w:style>
  <w:style w:type="character" w:customStyle="1" w:styleId="strong">
    <w:name w:val="strong"/>
    <w:basedOn w:val="DefaultParagraphFont"/>
    <w:rPr>
      <w:b/>
      <w:bCs/>
    </w:rPr>
  </w:style>
  <w:style w:type="table" w:customStyle="1" w:styleId="table">
    <w:name w:val="table"/>
    <w:basedOn w:val="TableNormal"/>
    <w:tblPr/>
  </w:style>
  <w:style w:type="paragraph" w:customStyle="1" w:styleId="section-with-items">
    <w:name w:val="section-with-items"/>
    <w:basedOn w:val="Normal"/>
  </w:style>
  <w:style w:type="table" w:customStyle="1" w:styleId="divdata-sectionidtdnth-last-child1table">
    <w:name w:val="div_data-sectionid_td_nth-last-child(1)_table"/>
    <w:basedOn w:val="TableNormal"/>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sanantonio.primegov.com/content/images/org/3ad085.jpg" TargetMode="External" /><Relationship Id="rId5" Type="http://schemas.openxmlformats.org/officeDocument/2006/relationships/image" Target="media/image1.jpeg" /><Relationship Id="rId6" Type="http://schemas.openxmlformats.org/officeDocument/2006/relationships/theme" Target="theme/theme1.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2</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dc:title>
  <cp:revision>1</cp:revision>
</cp:coreProperties>
</file>