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451898"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Audit and Accountability</w:t>
      </w:r>
      <w:r>
        <w:rPr>
          <w:rStyle w:val="strong"/>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tbl>
      <w:tblPr>
        <w:tblStyle w:val="table"/>
        <w:tblW w:w="5000" w:type="pct"/>
        <w:tblInd w:w="20" w:type="dxa"/>
        <w:tblCellMar>
          <w:top w:w="15" w:type="dxa"/>
          <w:left w:w="15" w:type="dxa"/>
          <w:bottom w:w="15" w:type="dxa"/>
          <w:right w:w="15" w:type="dxa"/>
        </w:tblCellMar>
        <w:tblLook w:val="05E0"/>
      </w:tblPr>
      <w:tblGrid>
        <w:gridCol w:w="4473"/>
        <w:gridCol w:w="2560"/>
        <w:gridCol w:w="2307"/>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Wednesday, September 22,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10:00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City Hall</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Audit and Accountability will hold its regular meeting in the Council Briefing Room, City Hall beginning at 10:00 AM. Once convened, the Audit and Accountability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 xml:space="preserve">Members of the public can comment on items on the agenda. To submit comments or sign up to speak, please go to </w:t>
      </w:r>
      <w:r>
        <w:rPr>
          <w:rStyle w:val="anyCharacter"/>
          <w:color w:val="333333"/>
          <w:lang w:val="en" w:eastAsia="en"/>
        </w:rPr>
        <w:fldChar w:fldCharType="begin"/>
      </w:r>
      <w:r>
        <w:rPr>
          <w:rStyle w:val="anyCharacter"/>
          <w:color w:val="333333"/>
          <w:lang w:val="en" w:eastAsia="en"/>
        </w:rPr>
        <w:instrText xml:space="preserve"> HYPERLINK "http://www.sanantonio.gov/agenda" </w:instrText>
      </w:r>
      <w:r>
        <w:rPr>
          <w:rStyle w:val="anyCharacter"/>
          <w:color w:val="333333"/>
          <w:lang w:val="en" w:eastAsia="en"/>
        </w:rPr>
        <w:fldChar w:fldCharType="separate"/>
      </w:r>
      <w:r>
        <w:rPr>
          <w:rStyle w:val="a"/>
          <w:lang w:val="en" w:eastAsia="en"/>
        </w:rPr>
        <w:t>www.sanantonio.gov/agenda</w:t>
      </w:r>
      <w:r>
        <w:rPr>
          <w:rStyle w:val="a"/>
          <w:lang w:val="en" w:eastAsia="en"/>
        </w:rPr>
        <w:fldChar w:fldCharType="end"/>
      </w:r>
      <w:r>
        <w:rPr>
          <w:rStyle w:val="anyCharacter"/>
          <w:color w:val="333333"/>
          <w:lang w:val="en" w:eastAsia="en"/>
        </w:rPr>
        <w:t xml:space="preserve"> and click on the eComment link for instructions.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Audit and Accountability Committee shall consider the following:</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minutes August 20,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CONSENT AGENDA</w:t>
                  </w:r>
                  <w:r>
                    <w:rPr>
                      <w:rStyle w:val="anyCharacter"/>
                      <w:b/>
                      <w:bCs/>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Final Internal Audit Reports</w:t>
                  </w:r>
                  <w:r>
                    <w:rPr>
                      <w:rStyle w:val="strong"/>
                      <w:i w:val="0"/>
                      <w:iCs w:val="0"/>
                      <w:smallCaps w:val="0"/>
                      <w:color w:val="333333"/>
                      <w:lang w:val="en" w:eastAsia="en"/>
                    </w:rPr>
                    <w:br/>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Acceptance of the Office of the City Auditor report AU20-001 of the Office of 311 Customer Service Call Center Operations and 311 App to determine if staff is adequate and appropriately scheduled, workflow is effectively designed and functioning, and IT system controls are effective [Kevin Barthold, City Auditor]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Acceptance of the Office of the City Auditor report AU21-030 of the Solid Waste Management Department (SWMD)’s household hazardous waste contract to determine if SWMD and contracted vendors are in compliance with contractual terms for disposal of household hazardous waste [Kevin Barthold, City Auditor]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Acceptance of the Office of the City Auditor report AU21-006 of the San Antonio Metro Health Department (SAMHD) to determine if SAMHD is accounting for COVID-19 response expenses appropriately and accurately [Kevin Barthold, City Auditor]</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ITEMS FOR INDIVIDUAL CONSIDERATION</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Pre-Solicitation High Profile Briefings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on the release of a solicitation to provide the Aviation Department with Airfield Engineering Design Services in the estimated total value of $20,000,000.00 for the project duration. [Jeff Coyle, Assistant City Manager; Jesus Saenz, Director, Aviation]</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Post-Solicitation High Profile Briefings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to proceed scheduling up to four contracts for City Council consideration to provide temporary staffing services to various departments throughout the City in the estimated total value of $20 million for a term of 3 years with 2, 1-year options to renew. [Ben Gorzell, Chief Financial Officer; Renee Freida, Interim Director, Human Resources]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Executive Session</w:t>
                  </w:r>
                  <w:r>
                    <w:rPr>
                      <w:rStyle w:val="anyCharacter"/>
                      <w:b/>
                      <w:bCs/>
                      <w:i w:val="0"/>
                      <w:iCs w:val="0"/>
                      <w:smallCaps w:val="0"/>
                      <w:color w:val="333333"/>
                      <w:lang w:val="en" w:eastAsia="en"/>
                    </w:rPr>
                    <w:br/>
                  </w:r>
                  <w:r>
                    <w:rPr>
                      <w:rStyle w:val="anyCharacter"/>
                      <w:b w:val="0"/>
                      <w:bCs w:val="0"/>
                      <w:i w:val="0"/>
                      <w:iCs w:val="0"/>
                      <w:smallCaps w:val="0"/>
                      <w:color w:val="333333"/>
                      <w:lang w:val="en" w:eastAsia="en"/>
                    </w:rPr>
                    <w:t>At any time during the meeting, the Committee may meet in executive session for consultation with the City Attorney's Office concerning attorney client matters under Chapter 551 of the Texas Government Code.</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55"/>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r>
                          <w:rPr>
                            <w:rFonts w:ascii="Arial" w:eastAsia="Arial" w:hAnsi="Arial" w:cs="Arial"/>
                            <w:b w:val="0"/>
                            <w:bCs w:val="0"/>
                            <w:i w:val="0"/>
                            <w:iCs w:val="0"/>
                            <w:smallCaps w:val="0"/>
                            <w:color w:val="333333"/>
                            <w:lang w:val="en" w:eastAsia="en"/>
                          </w:rPr>
                          <w:t>.</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Deliberate the following Information Technology Services Department security audit pursuant to Texas Government Code Section 551.076, deliberation regarding security devices or security audits </w:t>
                        </w:r>
                      </w:p>
                      <w:p>
                        <w:pPr>
                          <w:pStyle w:val="li"/>
                          <w:numPr>
                            <w:ilvl w:val="0"/>
                            <w:numId w:val="1"/>
                          </w:numPr>
                          <w:bidi w:val="0"/>
                          <w:spacing w:before="0" w:after="150"/>
                          <w:ind w:left="720" w:hanging="210"/>
                          <w:jc w:val="left"/>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Follow up audit report AU20-F04 Windows server vulnerability management to determine if recommendations made in the prior audit have been implemented [Kevin Barthold, City Auditor]</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Consideration of items for future meetings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Next Scheduled Meeting Date: October 27,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City Hall/N. Flores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p>
    <w:p>
      <w:pPr>
        <w:bidi w:val="0"/>
        <w:spacing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xml:space="preserve">  </w:t>
      </w:r>
    </w:p>
    <w:p>
      <w:pPr>
        <w:pStyle w:val="any"/>
        <w:bidi w:val="0"/>
        <w:spacing w:after="0" w:line="300" w:lineRule="atLeast"/>
        <w:ind w:left="0" w:right="0"/>
        <w:jc w:val="center"/>
        <w:rPr>
          <w:rFonts w:ascii="Arial" w:eastAsia="Arial" w:hAnsi="Arial" w:cs="Arial"/>
          <w:color w:val="333333"/>
          <w:sz w:val="21"/>
          <w:szCs w:val="21"/>
          <w:lang w:val="en" w:eastAsia="en"/>
        </w:rPr>
      </w:pPr>
      <w:r>
        <w:rPr>
          <w:rStyle w:val="strong"/>
          <w:color w:val="333333"/>
          <w:lang w:val="en" w:eastAsia="en"/>
        </w:rPr>
        <w:t>Audit and Accountability</w:t>
      </w:r>
      <w:r>
        <w:rPr>
          <w:rStyle w:val="strong"/>
          <w:color w:val="333333"/>
          <w:lang w:val="en" w:eastAsia="en"/>
        </w:rPr>
        <w:t xml:space="preserve"> </w:t>
      </w:r>
      <w:r>
        <w:rPr>
          <w:rStyle w:val="anyCharacter"/>
          <w:b/>
          <w:bCs/>
          <w:color w:val="333333"/>
          <w:lang w:val="en" w:eastAsia="en"/>
        </w:rPr>
        <w:t>Committee Members</w:t>
      </w:r>
      <w:r>
        <w:rPr>
          <w:rStyle w:val="anyCharacter"/>
          <w:b/>
          <w:bCs/>
          <w:color w:val="333333"/>
          <w:lang w:val="en" w:eastAsia="en"/>
        </w:rPr>
        <w:br/>
      </w:r>
      <w:r>
        <w:rPr>
          <w:rStyle w:val="anyCharacter"/>
          <w:b/>
          <w:bCs/>
          <w:color w:val="333333"/>
          <w:lang w:val="en" w:eastAsia="en"/>
        </w:rPr>
        <w:t>Clayton Perry, Dist. 10, Chair</w:t>
      </w:r>
      <w:r>
        <w:rPr>
          <w:rStyle w:val="anyCharacter"/>
          <w:b/>
          <w:bCs/>
          <w:color w:val="333333"/>
          <w:lang w:val="en" w:eastAsia="en"/>
        </w:rPr>
        <w:br/>
      </w:r>
      <w:r>
        <w:rPr>
          <w:rStyle w:val="anyCharacter"/>
          <w:b/>
          <w:bCs/>
          <w:color w:val="333333"/>
          <w:lang w:val="en" w:eastAsia="en"/>
        </w:rPr>
        <w:t>Jalen McKee-Rodriguez, Dist. 2 | Manny Pelaez, Dist. 8</w:t>
      </w:r>
      <w:r>
        <w:rPr>
          <w:rStyle w:val="anyCharacter"/>
          <w:b/>
          <w:bCs/>
          <w:color w:val="333333"/>
          <w:lang w:val="en" w:eastAsia="en"/>
        </w:rPr>
        <w:br/>
      </w:r>
      <w:r>
        <w:rPr>
          <w:rStyle w:val="anyCharacter"/>
          <w:b/>
          <w:bCs/>
          <w:color w:val="333333"/>
          <w:lang w:val="en" w:eastAsia="en"/>
        </w:rPr>
        <w:t>Citizen Committee Members: Priscilla Soto | Judy Treviño</w:t>
      </w:r>
      <w:r>
        <w:rPr>
          <w:rStyle w:val="anyCharacter"/>
          <w:b/>
          <w:bCs/>
          <w:color w:val="333333"/>
          <w:lang w:val="en" w:eastAsia="en"/>
        </w:rPr>
        <w:br/>
      </w:r>
      <w:r>
        <w:rPr>
          <w:rStyle w:val="anyCharacter"/>
          <w:b/>
          <w:bCs/>
          <w:color w:val="333333"/>
          <w:lang w:val="en" w:eastAsia="en"/>
        </w:rPr>
        <w:br/>
      </w:r>
      <w:r>
        <w:rPr>
          <w:rStyle w:val="anyCharacter"/>
          <w:b/>
          <w:bCs/>
          <w:color w:val="333333"/>
          <w:lang w:val="en" w:eastAsia="en"/>
        </w:rPr>
        <w:t>* Other members of City Council may attend to observe, but not vote, on matters before the Committee.</w:t>
      </w:r>
      <w:r>
        <w:rPr>
          <w:rStyle w:val="anyCharacter"/>
          <w:b/>
          <w:bCs/>
          <w:color w:val="333333"/>
          <w:lang w:val="en" w:eastAsia="en"/>
        </w:rPr>
        <w:br/>
      </w:r>
      <w:r>
        <w:rPr>
          <w:rStyle w:val="anyCharacter"/>
          <w:b/>
          <w:bCs/>
          <w:color w:val="333333"/>
          <w:lang w:val="en" w:eastAsia="en"/>
        </w:rPr>
        <w:br/>
      </w:r>
      <w:r>
        <w:rPr>
          <w:rStyle w:val="anyCharacter"/>
          <w:color w:val="333333"/>
          <w:lang w:val="en" w:eastAsia="en"/>
        </w:rPr>
        <w:t>For additional information on any item on this agenda, please visit www.sanantonio.gov or</w:t>
      </w:r>
      <w:r>
        <w:rPr>
          <w:rStyle w:val="anyCharacter"/>
          <w:color w:val="333333"/>
          <w:lang w:val="en" w:eastAsia="en"/>
        </w:rPr>
        <w:br/>
      </w:r>
      <w:r>
        <w:rPr>
          <w:rStyle w:val="anyCharacter"/>
          <w:color w:val="333333"/>
          <w:lang w:val="en" w:eastAsia="en"/>
        </w:rPr>
        <w:t>call (210) 207-7080.</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table" w:customStyle="1" w:styleId="divdata-sectionidtdnth-last-child1table">
    <w:name w:val="div_|data-sectionid_td_nth-last-child(1)_table"/>
    <w:basedOn w:val="TableNormal"/>
    <w:tblPr/>
  </w:style>
  <w:style w:type="paragraph" w:customStyle="1" w:styleId="li">
    <w:name w:val="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