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89120"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 xml:space="preserve">City Commission on Veterans Affairs (VAC) </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00"/>
        <w:gridCol w:w="2448"/>
        <w:gridCol w:w="2592"/>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Monday, November 15,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3:00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 xml:space="preserve">City of San Antonio, District 4 Field Office, located at 5102 Old Pearsall Road, San Antonio, TX 78242 </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City Commission on Veterans Affairs (VAC) will hold its regular meeting in the City of San Antonio, District 4 Field Office, located at 5102 Old Pearsall Road, San Antonio, TX 78242  beginning at 3:00 PM. Once convened, the City Commission on Veterans Affairs (VAC)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City Commission on Veterans Affairs (VAC) shall consider the following:</w:t>
      </w:r>
      <w:r>
        <w:rPr>
          <w:rStyle w:val="anyCharacter"/>
          <w:color w:val="333333"/>
          <w:lang w:val="en" w:eastAsia="en"/>
        </w:rPr>
        <w:br/>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Nation Anthem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City Commission on Veterans Affairs 26 October 2021 Meeting Minutes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Veterans Day Events Recap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Veterans Day Parade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CoSA Parks and Trail Heads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District 8 Park Trail Head Discussion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OMVA representative to discuss Greenways around JBSA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Bylaws SubCommittee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Updates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Timeline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Elizabeth Dole Foundation Subcommittee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Request self-nominations for the Elizabth Dole Foundation (EDF) Hidden Heroes City (HHC) subcommittee.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Establish a subcommittee meeting date.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VAC Calendar</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Determine next years meeting dates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Disccuss Holiday Social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OMVA to provide brief on VAC digital Veterans Support calendar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Determine two VAC dates for City Photography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Special Interest Focus Topic: Women Veteran Services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D4 to lead discuss as focus topic and meeting host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OMVA representative to provide supplemental material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Discussion of situation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Discussion of resources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Discussion of gaps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Discussion of ways ahead to mitigate gaps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 xml:space="preserve">At any time during the meeting, the City Commission on Veterans Affairs (VAC) </w:t>
      </w:r>
      <w:r>
        <w:rPr>
          <w:rFonts w:ascii="Arial" w:eastAsia="Arial" w:hAnsi="Arial" w:cs="Arial"/>
          <w:color w:val="333333"/>
          <w:sz w:val="21"/>
          <w:szCs w:val="21"/>
          <w:lang w:val="en" w:eastAsia="en"/>
        </w:rPr>
        <w:t> </w:t>
      </w:r>
      <w:r>
        <w:rPr>
          <w:rStyle w:val="anyCharacter"/>
          <w:color w:val="333333"/>
          <w:lang w:val="en" w:eastAsia="en"/>
        </w:rPr>
        <w:t>may meet in executive session by videoconference for consultation with the City Attorney's Office concerning attorney client matters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207-7268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