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159296"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Head Start Policy Council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46"/>
        <w:gridCol w:w="2515"/>
        <w:gridCol w:w="2479"/>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February 22,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February 22, 2022, at 6:15 PM.</w:t>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January 25, 2022</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Annual Update of the HHS Poverty Guidelines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Final Rule on Flexibility for Head Start Designation Renewals in Certain Emergencies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and Discuss Head Start Agreement and Goal Setting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and Discuss Early Head Start (EHS) and Early Head Start-Child Care Partnership Program (EHS-CCP) Agreement and Goal Setting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and Discuss Jule Sugarman Process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EHS and EHS-CCP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Monthly Program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Fiscal Report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Head Start Policy Council meeting, the Policy Council may meet in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 under Chapter 551 of the Texas Government Code, including consultation with</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an attorney.</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ACCESSIBILITY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This meeting site is accessible to persons with disabilities. Parking is available. Auxiliary aids and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services, including Deaf interpreters, must be requested forty-eight [48] hours prior to the</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meeting. For assistance, call (210)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DECLARACIÓN DE ACCESIBILIDAD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Este lugar de la reunión es accesible a personas incapacitadas. Se hará disponible el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estacionamiento. Ayudas auxiliares, incluyendo servicios de intérpretes para los sordos, se deben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pedir con cuarenta y ocho [48] horas de anticipación a la reunión. Para asistencia llamar al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DEPARTMENT OF HUMAN SERVICES HEAD START MISSION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Preparing children and engaging families for school readiness and life-long success.</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                                                                                                                                                      Posted on: 02/18/2022  05:13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